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913" w:rsidRDefault="005816F9" w:rsidP="00115B66">
      <w:pPr>
        <w:pStyle w:val="MDPI21heading1"/>
      </w:pPr>
      <w:bookmarkStart w:id="0" w:name="_GoBack"/>
      <w:bookmarkEnd w:id="0"/>
      <w:r>
        <w:t>Supplementary File 3</w:t>
      </w:r>
    </w:p>
    <w:tbl>
      <w:tblPr>
        <w:tblW w:w="13888" w:type="dxa"/>
        <w:tblInd w:w="113" w:type="dxa"/>
        <w:tblLayout w:type="fixed"/>
        <w:tblLook w:val="04A0" w:firstRow="1" w:lastRow="0" w:firstColumn="1" w:lastColumn="0" w:noHBand="0" w:noVBand="1"/>
      </w:tblPr>
      <w:tblGrid>
        <w:gridCol w:w="704"/>
        <w:gridCol w:w="1701"/>
        <w:gridCol w:w="1843"/>
        <w:gridCol w:w="1701"/>
        <w:gridCol w:w="567"/>
        <w:gridCol w:w="2268"/>
        <w:gridCol w:w="709"/>
        <w:gridCol w:w="850"/>
        <w:gridCol w:w="709"/>
        <w:gridCol w:w="709"/>
        <w:gridCol w:w="708"/>
        <w:gridCol w:w="709"/>
        <w:gridCol w:w="710"/>
      </w:tblGrid>
      <w:tr w:rsidR="00836951" w:rsidRPr="001F0C34" w:rsidTr="00115B66">
        <w:trPr>
          <w:trHeight w:val="315"/>
        </w:trPr>
        <w:tc>
          <w:tcPr>
            <w:tcW w:w="13888"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NCCAP Simulations</w:t>
            </w:r>
          </w:p>
        </w:tc>
      </w:tr>
      <w:tr w:rsidR="00836951" w:rsidRPr="001F0C34" w:rsidTr="0013195C">
        <w:trPr>
          <w:trHeight w:val="315"/>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NCCAP document</w:t>
            </w:r>
          </w:p>
        </w:tc>
        <w:tc>
          <w:tcPr>
            <w:tcW w:w="7939" w:type="dxa"/>
            <w:gridSpan w:val="9"/>
            <w:tcBorders>
              <w:top w:val="single" w:sz="4" w:space="0" w:color="auto"/>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Authors</w:t>
            </w:r>
          </w:p>
        </w:tc>
      </w:tr>
      <w:tr w:rsidR="0013195C" w:rsidRPr="001F0C34" w:rsidTr="0013195C">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Purpose</w:t>
            </w:r>
          </w:p>
        </w:tc>
        <w:tc>
          <w:tcPr>
            <w:tcW w:w="1843"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Objective</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 xml:space="preserve">Change in </w:t>
            </w:r>
            <w:proofErr w:type="spellStart"/>
            <w:r w:rsidRPr="00115B66">
              <w:rPr>
                <w:sz w:val="16"/>
                <w:szCs w:val="16"/>
              </w:rPr>
              <w:t>gdp</w:t>
            </w:r>
            <w:proofErr w:type="spellEnd"/>
            <w:r w:rsidRPr="00115B66">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Change in hard coal use (%)</w:t>
            </w:r>
          </w:p>
        </w:tc>
        <w:tc>
          <w:tcPr>
            <w:tcW w:w="71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Change in lignite use (%)</w:t>
            </w:r>
          </w:p>
        </w:tc>
      </w:tr>
      <w:tr w:rsidR="0013195C" w:rsidRPr="001F0C34" w:rsidTr="0013195C">
        <w:trPr>
          <w:trHeight w:val="1260"/>
        </w:trPr>
        <w:tc>
          <w:tcPr>
            <w:tcW w:w="704" w:type="dxa"/>
            <w:vMerge w:val="restart"/>
            <w:tcBorders>
              <w:top w:val="nil"/>
              <w:left w:val="single" w:sz="4" w:space="0" w:color="auto"/>
              <w:bottom w:val="single" w:sz="4" w:space="0" w:color="000000"/>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ENERGY</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 xml:space="preserve">PURPOSE E1. Reducing energy intensity </w:t>
            </w:r>
          </w:p>
        </w:tc>
        <w:tc>
          <w:tcPr>
            <w:tcW w:w="1843"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OBJECTIVE E1.1. Reduce primary energy intensity at 10% by 2015 as a result of implemented and planned policies and measures</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 xml:space="preserve">INCREASING EFFICIENCY TYPE SHOCK: A 10% decrease shock in exogenous final demand accounts of primary energy sectors (coal mining, </w:t>
            </w:r>
            <w:proofErr w:type="spellStart"/>
            <w:proofErr w:type="gramStart"/>
            <w:r w:rsidRPr="00115B66">
              <w:rPr>
                <w:sz w:val="16"/>
                <w:szCs w:val="16"/>
              </w:rPr>
              <w:t>petroleum,nat</w:t>
            </w:r>
            <w:r w:rsidR="000F2BB4" w:rsidRPr="00115B66">
              <w:rPr>
                <w:sz w:val="16"/>
                <w:szCs w:val="16"/>
              </w:rPr>
              <w:t>ural</w:t>
            </w:r>
            <w:proofErr w:type="spellEnd"/>
            <w:proofErr w:type="gramEnd"/>
            <w:r w:rsidR="000F2BB4" w:rsidRPr="00115B66">
              <w:rPr>
                <w:sz w:val="16"/>
                <w:szCs w:val="16"/>
              </w:rPr>
              <w:t xml:space="preserve"> </w:t>
            </w:r>
            <w:r w:rsidRPr="00115B66">
              <w:rPr>
                <w:sz w:val="16"/>
                <w:szCs w:val="16"/>
              </w:rPr>
              <w:t xml:space="preserve">gas extraction, </w:t>
            </w:r>
            <w:proofErr w:type="spellStart"/>
            <w:r w:rsidRPr="00115B66">
              <w:rPr>
                <w:sz w:val="16"/>
                <w:szCs w:val="16"/>
              </w:rPr>
              <w:t>coke,refined</w:t>
            </w:r>
            <w:proofErr w:type="spellEnd"/>
            <w:r w:rsidRPr="00115B66">
              <w:rPr>
                <w:sz w:val="16"/>
                <w:szCs w:val="16"/>
              </w:rPr>
              <w:t xml:space="preserve"> petroleum).</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NCCAP01</w:t>
            </w:r>
          </w:p>
        </w:tc>
        <w:tc>
          <w:tcPr>
            <w:tcW w:w="850"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-0.09</w:t>
            </w:r>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-0.05</w:t>
            </w:r>
          </w:p>
        </w:tc>
        <w:tc>
          <w:tcPr>
            <w:tcW w:w="710"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-0.06</w:t>
            </w:r>
          </w:p>
        </w:tc>
      </w:tr>
      <w:tr w:rsidR="0013195C" w:rsidRPr="001F0C34" w:rsidTr="0013195C">
        <w:trPr>
          <w:trHeight w:val="420"/>
        </w:trPr>
        <w:tc>
          <w:tcPr>
            <w:tcW w:w="704" w:type="dxa"/>
            <w:vMerge/>
            <w:tcBorders>
              <w:top w:val="nil"/>
              <w:left w:val="single" w:sz="4" w:space="0" w:color="auto"/>
              <w:bottom w:val="single" w:sz="4" w:space="0" w:color="000000"/>
              <w:right w:val="single" w:sz="4" w:space="0" w:color="auto"/>
            </w:tcBorders>
            <w:vAlign w:val="center"/>
            <w:hideMark/>
          </w:tcPr>
          <w:p w:rsidR="00236922" w:rsidRPr="00115B66" w:rsidRDefault="00236922" w:rsidP="00115B66">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236922" w:rsidRPr="00115B66" w:rsidRDefault="00236922" w:rsidP="00115B66">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OBJECTIVE E1.2. Develop the capacity for energy efficiency by 2015</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85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1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r>
      <w:tr w:rsidR="0013195C" w:rsidRPr="001F0C34" w:rsidTr="0013195C">
        <w:trPr>
          <w:trHeight w:val="420"/>
        </w:trPr>
        <w:tc>
          <w:tcPr>
            <w:tcW w:w="704" w:type="dxa"/>
            <w:vMerge/>
            <w:tcBorders>
              <w:top w:val="nil"/>
              <w:left w:val="single" w:sz="4" w:space="0" w:color="auto"/>
              <w:bottom w:val="single" w:sz="4" w:space="0" w:color="000000"/>
              <w:right w:val="single" w:sz="4" w:space="0" w:color="auto"/>
            </w:tcBorders>
            <w:vAlign w:val="center"/>
            <w:hideMark/>
          </w:tcPr>
          <w:p w:rsidR="00236922" w:rsidRPr="00115B66" w:rsidRDefault="00236922" w:rsidP="00115B66">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236922" w:rsidRPr="00115B66" w:rsidRDefault="00236922" w:rsidP="00115B66">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OBJECTIVE E1.3. Support R&amp;D activities on energy efficiency</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85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c>
          <w:tcPr>
            <w:tcW w:w="710"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w:t>
            </w:r>
          </w:p>
        </w:tc>
      </w:tr>
      <w:tr w:rsidR="0013195C" w:rsidRPr="001F0C34" w:rsidTr="0013195C">
        <w:trPr>
          <w:trHeight w:val="870"/>
        </w:trPr>
        <w:tc>
          <w:tcPr>
            <w:tcW w:w="704" w:type="dxa"/>
            <w:vMerge/>
            <w:tcBorders>
              <w:top w:val="nil"/>
              <w:left w:val="single" w:sz="4" w:space="0" w:color="auto"/>
              <w:bottom w:val="single" w:sz="4" w:space="0" w:color="000000"/>
              <w:right w:val="single" w:sz="4" w:space="0" w:color="auto"/>
            </w:tcBorders>
            <w:vAlign w:val="center"/>
            <w:hideMark/>
          </w:tcPr>
          <w:p w:rsidR="00236922" w:rsidRPr="00115B66" w:rsidRDefault="00236922" w:rsidP="00115B66">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236922" w:rsidRPr="00115B66" w:rsidRDefault="00236922" w:rsidP="00115B66">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OBJECTIVE E1.4. Increase the amount of incentives given by Renewable Energy General Directorate for energy efficiency applications by 100% until 2015</w:t>
            </w:r>
          </w:p>
        </w:tc>
        <w:tc>
          <w:tcPr>
            <w:tcW w:w="1701"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INCREASING EFFICIENCY TYPE SHOCK: A 10% decrease shock in exogenous final demand accounts of all electricity producing sectors.</w:t>
            </w:r>
          </w:p>
        </w:tc>
        <w:tc>
          <w:tcPr>
            <w:tcW w:w="709" w:type="dxa"/>
            <w:tcBorders>
              <w:top w:val="nil"/>
              <w:left w:val="nil"/>
              <w:bottom w:val="single" w:sz="4" w:space="0" w:color="auto"/>
              <w:right w:val="single" w:sz="4" w:space="0" w:color="auto"/>
            </w:tcBorders>
            <w:shd w:val="clear" w:color="auto" w:fill="auto"/>
            <w:hideMark/>
          </w:tcPr>
          <w:p w:rsidR="00236922" w:rsidRPr="00115B66" w:rsidRDefault="00236922" w:rsidP="00115B66">
            <w:pPr>
              <w:pStyle w:val="MDPI42tablebody"/>
              <w:rPr>
                <w:sz w:val="16"/>
                <w:szCs w:val="16"/>
              </w:rPr>
            </w:pPr>
            <w:r w:rsidRPr="00115B66">
              <w:rPr>
                <w:sz w:val="16"/>
                <w:szCs w:val="16"/>
              </w:rPr>
              <w:t>NCCAP02</w:t>
            </w:r>
          </w:p>
        </w:tc>
        <w:tc>
          <w:tcPr>
            <w:tcW w:w="850"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-0.63</w:t>
            </w:r>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proofErr w:type="spellStart"/>
            <w:r w:rsidRPr="00115B6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-0.83</w:t>
            </w:r>
          </w:p>
        </w:tc>
        <w:tc>
          <w:tcPr>
            <w:tcW w:w="710" w:type="dxa"/>
            <w:tcBorders>
              <w:top w:val="nil"/>
              <w:left w:val="nil"/>
              <w:bottom w:val="single" w:sz="4" w:space="0" w:color="auto"/>
              <w:right w:val="single" w:sz="4" w:space="0" w:color="auto"/>
            </w:tcBorders>
            <w:shd w:val="clear" w:color="auto" w:fill="auto"/>
            <w:noWrap/>
            <w:hideMark/>
          </w:tcPr>
          <w:p w:rsidR="00236922" w:rsidRPr="00115B66" w:rsidRDefault="00236922" w:rsidP="00115B66">
            <w:pPr>
              <w:pStyle w:val="MDPI42tablebody"/>
              <w:rPr>
                <w:sz w:val="16"/>
                <w:szCs w:val="16"/>
              </w:rPr>
            </w:pPr>
            <w:r w:rsidRPr="00115B66">
              <w:rPr>
                <w:sz w:val="16"/>
                <w:szCs w:val="16"/>
              </w:rPr>
              <w:t>-1.79</w:t>
            </w:r>
          </w:p>
        </w:tc>
      </w:tr>
    </w:tbl>
    <w:p w:rsidR="00236922" w:rsidRDefault="00236922">
      <w:pPr>
        <w:rPr>
          <w:rFonts w:ascii="Arial" w:hAnsi="Arial" w:cs="Arial"/>
          <w:sz w:val="24"/>
          <w:szCs w:val="24"/>
        </w:rPr>
      </w:pPr>
    </w:p>
    <w:p w:rsidR="0013195C" w:rsidRDefault="0013195C">
      <w:pPr>
        <w:rPr>
          <w:rFonts w:ascii="Arial" w:hAnsi="Arial" w:cs="Arial"/>
          <w:sz w:val="24"/>
          <w:szCs w:val="24"/>
        </w:rPr>
      </w:pPr>
    </w:p>
    <w:p w:rsidR="0013195C" w:rsidRDefault="0013195C">
      <w:pPr>
        <w:rPr>
          <w:rFonts w:ascii="Arial" w:hAnsi="Arial" w:cs="Arial"/>
          <w:sz w:val="24"/>
          <w:szCs w:val="24"/>
        </w:rPr>
      </w:pPr>
    </w:p>
    <w:tbl>
      <w:tblPr>
        <w:tblW w:w="13888" w:type="dxa"/>
        <w:tblInd w:w="113" w:type="dxa"/>
        <w:tblLayout w:type="fixed"/>
        <w:tblLook w:val="04A0" w:firstRow="1" w:lastRow="0" w:firstColumn="1" w:lastColumn="0" w:noHBand="0" w:noVBand="1"/>
      </w:tblPr>
      <w:tblGrid>
        <w:gridCol w:w="704"/>
        <w:gridCol w:w="1701"/>
        <w:gridCol w:w="1843"/>
        <w:gridCol w:w="1701"/>
        <w:gridCol w:w="567"/>
        <w:gridCol w:w="2268"/>
        <w:gridCol w:w="709"/>
        <w:gridCol w:w="850"/>
        <w:gridCol w:w="709"/>
        <w:gridCol w:w="94"/>
        <w:gridCol w:w="615"/>
        <w:gridCol w:w="708"/>
        <w:gridCol w:w="709"/>
        <w:gridCol w:w="710"/>
      </w:tblGrid>
      <w:tr w:rsidR="00836951" w:rsidRPr="005651EF" w:rsidTr="005651EF">
        <w:trPr>
          <w:trHeight w:val="315"/>
        </w:trPr>
        <w:tc>
          <w:tcPr>
            <w:tcW w:w="13888" w:type="dxa"/>
            <w:gridSpan w:val="14"/>
            <w:tcBorders>
              <w:top w:val="single" w:sz="4" w:space="0" w:color="auto"/>
              <w:left w:val="single" w:sz="4" w:space="0" w:color="auto"/>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lastRenderedPageBreak/>
              <w:t>NCCAP Simulations (continues)</w:t>
            </w:r>
          </w:p>
        </w:tc>
      </w:tr>
      <w:tr w:rsidR="00836951" w:rsidRPr="005651EF" w:rsidTr="00EC4F40">
        <w:trPr>
          <w:trHeight w:val="315"/>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NCCAP document</w:t>
            </w:r>
          </w:p>
        </w:tc>
        <w:tc>
          <w:tcPr>
            <w:tcW w:w="7939" w:type="dxa"/>
            <w:gridSpan w:val="10"/>
            <w:tcBorders>
              <w:top w:val="single" w:sz="4" w:space="0" w:color="auto"/>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Authors</w:t>
            </w:r>
          </w:p>
        </w:tc>
      </w:tr>
      <w:tr w:rsidR="00EC4F40" w:rsidRPr="005651EF" w:rsidTr="00FE66B9">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Purpose</w:t>
            </w:r>
          </w:p>
        </w:tc>
        <w:tc>
          <w:tcPr>
            <w:tcW w:w="1843"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Objective</w:t>
            </w:r>
          </w:p>
        </w:tc>
        <w:tc>
          <w:tcPr>
            <w:tcW w:w="1701"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Change in employment (%)</w:t>
            </w:r>
          </w:p>
        </w:tc>
        <w:tc>
          <w:tcPr>
            <w:tcW w:w="709" w:type="dxa"/>
            <w:gridSpan w:val="2"/>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 xml:space="preserve">Change in </w:t>
            </w:r>
            <w:proofErr w:type="spellStart"/>
            <w:r w:rsidRPr="005651EF">
              <w:rPr>
                <w:sz w:val="16"/>
                <w:szCs w:val="16"/>
              </w:rPr>
              <w:t>gdp</w:t>
            </w:r>
            <w:proofErr w:type="spellEnd"/>
            <w:r w:rsidRPr="005651EF">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Change in hard coal use (%)</w:t>
            </w:r>
          </w:p>
        </w:tc>
        <w:tc>
          <w:tcPr>
            <w:tcW w:w="71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Change in lignite use (%)</w:t>
            </w:r>
          </w:p>
        </w:tc>
      </w:tr>
      <w:tr w:rsidR="00EC4F40" w:rsidRPr="005651EF" w:rsidTr="00FE66B9">
        <w:trPr>
          <w:trHeight w:val="2520"/>
        </w:trPr>
        <w:tc>
          <w:tcPr>
            <w:tcW w:w="704" w:type="dxa"/>
            <w:vMerge w:val="restart"/>
            <w:tcBorders>
              <w:top w:val="single" w:sz="4" w:space="0" w:color="auto"/>
              <w:left w:val="single" w:sz="4" w:space="0" w:color="auto"/>
              <w:bottom w:val="nil"/>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ENERGY</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PURPOSE E2. Increase the share of clean energy in energy production and use</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OBJECTIVE E2.1. Ensure that the share of renewable energy in electricity production is increased</w:t>
            </w:r>
          </w:p>
        </w:tc>
        <w:tc>
          <w:tcPr>
            <w:tcW w:w="1701" w:type="dxa"/>
            <w:tcBorders>
              <w:top w:val="single" w:sz="4" w:space="0" w:color="auto"/>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E 2.1.1.1. Utilizing entire technical and economic potential for hydroelectric energy on basin-basis, in consideration of economic, environmental and social conditions until 2023.</w:t>
            </w:r>
          </w:p>
        </w:tc>
        <w:tc>
          <w:tcPr>
            <w:tcW w:w="567" w:type="dxa"/>
            <w:tcBorders>
              <w:top w:val="single" w:sz="4" w:space="0" w:color="auto"/>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Yes</w:t>
            </w:r>
          </w:p>
        </w:tc>
        <w:tc>
          <w:tcPr>
            <w:tcW w:w="2268" w:type="dxa"/>
            <w:tcBorders>
              <w:top w:val="single" w:sz="4" w:space="0" w:color="auto"/>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TRANSFERRING VOLUME TYPE SHOCK: A transfer shock in exogenous final demand accounts from coal electricity sector to hydro electricity sector at a rate of 16.3% of total</w:t>
            </w:r>
            <w:r w:rsidR="00EE06D8" w:rsidRPr="005651EF">
              <w:rPr>
                <w:sz w:val="16"/>
                <w:szCs w:val="16"/>
              </w:rPr>
              <w:t xml:space="preserve"> exogenous </w:t>
            </w:r>
            <w:r w:rsidR="000F2BB4" w:rsidRPr="005651EF">
              <w:rPr>
                <w:sz w:val="16"/>
                <w:szCs w:val="16"/>
              </w:rPr>
              <w:t xml:space="preserve">electricity </w:t>
            </w:r>
            <w:r w:rsidR="00EE06D8" w:rsidRPr="005651EF">
              <w:rPr>
                <w:sz w:val="16"/>
                <w:szCs w:val="16"/>
              </w:rPr>
              <w:t>final demand</w:t>
            </w:r>
            <w:r w:rsidRPr="005651EF">
              <w:rPr>
                <w:sz w:val="16"/>
                <w:szCs w:val="16"/>
              </w:rPr>
              <w:t xml:space="preserve"> (1 925 550 thousand </w:t>
            </w:r>
            <w:proofErr w:type="spellStart"/>
            <w:r w:rsidRPr="005651EF">
              <w:rPr>
                <w:sz w:val="16"/>
                <w:szCs w:val="16"/>
              </w:rPr>
              <w:t>tl</w:t>
            </w:r>
            <w:proofErr w:type="spellEnd"/>
            <w:r w:rsidRPr="005651EF">
              <w:rPr>
                <w:sz w:val="16"/>
                <w:szCs w:val="16"/>
              </w:rPr>
              <w:t>)</w:t>
            </w:r>
            <w:r w:rsidR="00EE06D8" w:rsidRPr="005651EF">
              <w:rPr>
                <w:sz w:val="16"/>
                <w:szCs w:val="16"/>
              </w:rPr>
              <w:t>.</w:t>
            </w:r>
            <w:r w:rsidRPr="005651EF">
              <w:rPr>
                <w:sz w:val="16"/>
                <w:szCs w:val="16"/>
              </w:rPr>
              <w:t xml:space="preserve"> (Technical and economic hydroelectric energy potential planned to be used in 2023 is 356 216 and 140 billion kWh respectively. This means 97 billion kWh must be in use in 2015. This is a shock increasing </w:t>
            </w:r>
            <w:proofErr w:type="spellStart"/>
            <w:r w:rsidRPr="005651EF">
              <w:rPr>
                <w:sz w:val="16"/>
                <w:szCs w:val="16"/>
              </w:rPr>
              <w:t>hydro electricity</w:t>
            </w:r>
            <w:proofErr w:type="spellEnd"/>
            <w:r w:rsidRPr="005651EF">
              <w:rPr>
                <w:sz w:val="16"/>
                <w:szCs w:val="16"/>
              </w:rPr>
              <w:t xml:space="preserve"> share from 24.2% to 40.5% in total electricity production.)</w:t>
            </w:r>
          </w:p>
        </w:tc>
        <w:tc>
          <w:tcPr>
            <w:tcW w:w="709" w:type="dxa"/>
            <w:tcBorders>
              <w:top w:val="single" w:sz="4" w:space="0" w:color="auto"/>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NCCAP03</w:t>
            </w:r>
          </w:p>
        </w:tc>
        <w:tc>
          <w:tcPr>
            <w:tcW w:w="850" w:type="dxa"/>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-0.82</w:t>
            </w:r>
          </w:p>
        </w:tc>
        <w:tc>
          <w:tcPr>
            <w:tcW w:w="803" w:type="dxa"/>
            <w:gridSpan w:val="2"/>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0.00</w:t>
            </w:r>
          </w:p>
        </w:tc>
        <w:tc>
          <w:tcPr>
            <w:tcW w:w="615" w:type="dxa"/>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-2.18</w:t>
            </w:r>
          </w:p>
        </w:tc>
        <w:tc>
          <w:tcPr>
            <w:tcW w:w="710" w:type="dxa"/>
            <w:tcBorders>
              <w:top w:val="single" w:sz="4" w:space="0" w:color="auto"/>
              <w:left w:val="nil"/>
              <w:bottom w:val="single" w:sz="4" w:space="0" w:color="auto"/>
              <w:right w:val="single" w:sz="4" w:space="0" w:color="auto"/>
            </w:tcBorders>
            <w:shd w:val="clear" w:color="auto" w:fill="auto"/>
            <w:noWrap/>
            <w:hideMark/>
          </w:tcPr>
          <w:p w:rsidR="00974022" w:rsidRPr="005651EF" w:rsidRDefault="00974022" w:rsidP="005651EF">
            <w:pPr>
              <w:pStyle w:val="MDPI42tablebody"/>
              <w:rPr>
                <w:sz w:val="16"/>
                <w:szCs w:val="16"/>
              </w:rPr>
            </w:pPr>
            <w:r w:rsidRPr="005651EF">
              <w:rPr>
                <w:sz w:val="16"/>
                <w:szCs w:val="16"/>
              </w:rPr>
              <w:t>-4.92</w:t>
            </w:r>
          </w:p>
        </w:tc>
      </w:tr>
      <w:tr w:rsidR="00EC4F40" w:rsidRPr="005651EF" w:rsidTr="00FE66B9">
        <w:trPr>
          <w:trHeight w:val="300"/>
        </w:trPr>
        <w:tc>
          <w:tcPr>
            <w:tcW w:w="704" w:type="dxa"/>
            <w:vMerge/>
            <w:tcBorders>
              <w:top w:val="nil"/>
              <w:left w:val="single" w:sz="4" w:space="0" w:color="auto"/>
              <w:bottom w:val="nil"/>
              <w:right w:val="single" w:sz="4" w:space="0" w:color="auto"/>
            </w:tcBorders>
            <w:vAlign w:val="center"/>
            <w:hideMark/>
          </w:tcPr>
          <w:p w:rsidR="00974022" w:rsidRPr="005651EF" w:rsidRDefault="00974022" w:rsidP="005651EF">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5651EF" w:rsidRDefault="00974022" w:rsidP="005651EF">
            <w:pPr>
              <w:pStyle w:val="MDPI42tablebody"/>
              <w:rPr>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974022" w:rsidRPr="005651EF" w:rsidRDefault="00974022" w:rsidP="005651EF">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Others</w:t>
            </w:r>
          </w:p>
        </w:tc>
        <w:tc>
          <w:tcPr>
            <w:tcW w:w="567"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03" w:type="dxa"/>
            <w:gridSpan w:val="2"/>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615"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1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r>
      <w:tr w:rsidR="00EC4F40" w:rsidRPr="005651EF" w:rsidTr="00FE66B9">
        <w:trPr>
          <w:trHeight w:val="630"/>
        </w:trPr>
        <w:tc>
          <w:tcPr>
            <w:tcW w:w="704" w:type="dxa"/>
            <w:vMerge/>
            <w:tcBorders>
              <w:top w:val="nil"/>
              <w:left w:val="single" w:sz="4" w:space="0" w:color="auto"/>
              <w:bottom w:val="nil"/>
              <w:right w:val="single" w:sz="4" w:space="0" w:color="auto"/>
            </w:tcBorders>
            <w:vAlign w:val="center"/>
            <w:hideMark/>
          </w:tcPr>
          <w:p w:rsidR="00974022" w:rsidRPr="005651EF" w:rsidRDefault="00974022" w:rsidP="005651EF">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5651EF" w:rsidRDefault="00974022" w:rsidP="005651EF">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OBJECTIVE E2.2 Develop capacity by 2015 so as to increase utilization of renewable energy resources</w:t>
            </w:r>
          </w:p>
        </w:tc>
        <w:tc>
          <w:tcPr>
            <w:tcW w:w="1701"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03" w:type="dxa"/>
            <w:gridSpan w:val="2"/>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615"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1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r>
      <w:tr w:rsidR="00EC4F40" w:rsidRPr="005651EF" w:rsidTr="00FE66B9">
        <w:trPr>
          <w:trHeight w:val="630"/>
        </w:trPr>
        <w:tc>
          <w:tcPr>
            <w:tcW w:w="704" w:type="dxa"/>
            <w:vMerge/>
            <w:tcBorders>
              <w:top w:val="nil"/>
              <w:left w:val="single" w:sz="4" w:space="0" w:color="auto"/>
              <w:bottom w:val="single" w:sz="4" w:space="0" w:color="auto"/>
              <w:right w:val="single" w:sz="4" w:space="0" w:color="auto"/>
            </w:tcBorders>
            <w:vAlign w:val="center"/>
            <w:hideMark/>
          </w:tcPr>
          <w:p w:rsidR="00974022" w:rsidRPr="005651EF" w:rsidRDefault="00974022" w:rsidP="005651EF">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5651EF" w:rsidRDefault="00974022" w:rsidP="005651EF">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OBJECTIVE E2.3 Ensure technological development by 2020 for energy production from renewable energy resources</w:t>
            </w:r>
          </w:p>
        </w:tc>
        <w:tc>
          <w:tcPr>
            <w:tcW w:w="1701"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803" w:type="dxa"/>
            <w:gridSpan w:val="2"/>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615"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c>
          <w:tcPr>
            <w:tcW w:w="710" w:type="dxa"/>
            <w:tcBorders>
              <w:top w:val="nil"/>
              <w:left w:val="nil"/>
              <w:bottom w:val="single" w:sz="4" w:space="0" w:color="auto"/>
              <w:right w:val="single" w:sz="4" w:space="0" w:color="auto"/>
            </w:tcBorders>
            <w:shd w:val="clear" w:color="auto" w:fill="auto"/>
            <w:hideMark/>
          </w:tcPr>
          <w:p w:rsidR="00974022" w:rsidRPr="005651EF" w:rsidRDefault="00974022" w:rsidP="005651EF">
            <w:pPr>
              <w:pStyle w:val="MDPI42tablebody"/>
              <w:rPr>
                <w:sz w:val="16"/>
                <w:szCs w:val="16"/>
              </w:rPr>
            </w:pPr>
            <w:r w:rsidRPr="005651EF">
              <w:rPr>
                <w:sz w:val="16"/>
                <w:szCs w:val="16"/>
              </w:rPr>
              <w:t>-</w:t>
            </w:r>
          </w:p>
        </w:tc>
      </w:tr>
    </w:tbl>
    <w:p w:rsidR="00974022" w:rsidRDefault="00974022">
      <w:pPr>
        <w:rPr>
          <w:rFonts w:ascii="Arial" w:hAnsi="Arial" w:cs="Arial"/>
          <w:sz w:val="24"/>
          <w:szCs w:val="24"/>
        </w:rPr>
      </w:pPr>
    </w:p>
    <w:tbl>
      <w:tblPr>
        <w:tblW w:w="13889" w:type="dxa"/>
        <w:tblInd w:w="113" w:type="dxa"/>
        <w:tblLayout w:type="fixed"/>
        <w:tblLook w:val="04A0" w:firstRow="1" w:lastRow="0" w:firstColumn="1" w:lastColumn="0" w:noHBand="0" w:noVBand="1"/>
      </w:tblPr>
      <w:tblGrid>
        <w:gridCol w:w="704"/>
        <w:gridCol w:w="1701"/>
        <w:gridCol w:w="1843"/>
        <w:gridCol w:w="1701"/>
        <w:gridCol w:w="567"/>
        <w:gridCol w:w="2268"/>
        <w:gridCol w:w="709"/>
        <w:gridCol w:w="850"/>
        <w:gridCol w:w="709"/>
        <w:gridCol w:w="709"/>
        <w:gridCol w:w="708"/>
        <w:gridCol w:w="709"/>
        <w:gridCol w:w="711"/>
      </w:tblGrid>
      <w:tr w:rsidR="00836951" w:rsidRPr="00EC4F40" w:rsidTr="00FE66B9">
        <w:trPr>
          <w:trHeight w:val="315"/>
        </w:trPr>
        <w:tc>
          <w:tcPr>
            <w:tcW w:w="13889"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974022" w:rsidRPr="00EC4F40" w:rsidRDefault="00974022" w:rsidP="00EC4F40">
            <w:pPr>
              <w:pStyle w:val="MDPI42tablebody"/>
              <w:rPr>
                <w:sz w:val="16"/>
                <w:szCs w:val="16"/>
              </w:rPr>
            </w:pPr>
            <w:r w:rsidRPr="00EC4F40">
              <w:rPr>
                <w:sz w:val="16"/>
                <w:szCs w:val="16"/>
              </w:rPr>
              <w:t>NCCAP Simulations (continues)</w:t>
            </w:r>
          </w:p>
        </w:tc>
      </w:tr>
      <w:tr w:rsidR="00836951" w:rsidRPr="00EC4F40" w:rsidTr="00FE66B9">
        <w:trPr>
          <w:trHeight w:val="315"/>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NCCAP document</w:t>
            </w:r>
          </w:p>
        </w:tc>
        <w:tc>
          <w:tcPr>
            <w:tcW w:w="7940" w:type="dxa"/>
            <w:gridSpan w:val="9"/>
            <w:tcBorders>
              <w:top w:val="single" w:sz="4" w:space="0" w:color="auto"/>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Authors</w:t>
            </w:r>
          </w:p>
        </w:tc>
      </w:tr>
      <w:tr w:rsidR="00FE66B9" w:rsidRPr="00EC4F40" w:rsidTr="008E6C6C">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Purpose</w:t>
            </w:r>
          </w:p>
        </w:tc>
        <w:tc>
          <w:tcPr>
            <w:tcW w:w="1843"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Objective</w:t>
            </w:r>
          </w:p>
        </w:tc>
        <w:tc>
          <w:tcPr>
            <w:tcW w:w="1701"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 xml:space="preserve">Change in </w:t>
            </w:r>
            <w:proofErr w:type="spellStart"/>
            <w:r w:rsidRPr="00EC4F40">
              <w:rPr>
                <w:sz w:val="16"/>
                <w:szCs w:val="16"/>
              </w:rPr>
              <w:t>gdp</w:t>
            </w:r>
            <w:proofErr w:type="spellEnd"/>
            <w:r w:rsidRPr="00EC4F40">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Change in hard coal use (%)</w:t>
            </w:r>
          </w:p>
        </w:tc>
        <w:tc>
          <w:tcPr>
            <w:tcW w:w="711" w:type="dxa"/>
            <w:tcBorders>
              <w:top w:val="nil"/>
              <w:left w:val="nil"/>
              <w:bottom w:val="single" w:sz="4" w:space="0" w:color="auto"/>
              <w:right w:val="single" w:sz="4" w:space="0" w:color="auto"/>
            </w:tcBorders>
            <w:shd w:val="clear" w:color="auto" w:fill="auto"/>
            <w:hideMark/>
          </w:tcPr>
          <w:p w:rsidR="00974022" w:rsidRPr="00EC4F40" w:rsidRDefault="00974022" w:rsidP="00EC4F40">
            <w:pPr>
              <w:pStyle w:val="MDPI42tablebody"/>
              <w:rPr>
                <w:sz w:val="16"/>
                <w:szCs w:val="16"/>
              </w:rPr>
            </w:pPr>
            <w:r w:rsidRPr="00EC4F40">
              <w:rPr>
                <w:sz w:val="16"/>
                <w:szCs w:val="16"/>
              </w:rPr>
              <w:t>Change in lignite use (%)</w:t>
            </w:r>
          </w:p>
        </w:tc>
      </w:tr>
      <w:tr w:rsidR="00FE66B9" w:rsidRPr="00EC4F40" w:rsidTr="008E6C6C">
        <w:trPr>
          <w:trHeight w:val="1050"/>
        </w:trPr>
        <w:tc>
          <w:tcPr>
            <w:tcW w:w="704" w:type="dxa"/>
            <w:vMerge w:val="restart"/>
            <w:tcBorders>
              <w:top w:val="nil"/>
              <w:left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ENERGY</w:t>
            </w:r>
          </w:p>
        </w:tc>
        <w:tc>
          <w:tcPr>
            <w:tcW w:w="1701"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PURPOSE E3. Limit GHG emissions originating from use of coal in electricity production, by using clean coal technologies and taking efficiency-increasing measures</w:t>
            </w:r>
          </w:p>
        </w:tc>
        <w:tc>
          <w:tcPr>
            <w:tcW w:w="1843"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OBJECTIVE E3.1. Increase the average cycle efficiencies of existing coal-fired thermal power plants until 2023</w:t>
            </w:r>
          </w:p>
        </w:tc>
        <w:tc>
          <w:tcPr>
            <w:tcW w:w="1701"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All</w:t>
            </w:r>
          </w:p>
        </w:tc>
        <w:tc>
          <w:tcPr>
            <w:tcW w:w="567"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No</w:t>
            </w:r>
          </w:p>
        </w:tc>
        <w:tc>
          <w:tcPr>
            <w:tcW w:w="2268"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r w:rsidRPr="00EC4F40">
              <w:rPr>
                <w:sz w:val="16"/>
                <w:szCs w:val="16"/>
              </w:rPr>
              <w:t>-</w:t>
            </w:r>
          </w:p>
        </w:tc>
        <w:tc>
          <w:tcPr>
            <w:tcW w:w="709" w:type="dxa"/>
            <w:tcBorders>
              <w:top w:val="nil"/>
              <w:left w:val="nil"/>
              <w:bottom w:val="single" w:sz="4" w:space="0" w:color="auto"/>
              <w:right w:val="single" w:sz="4" w:space="0" w:color="auto"/>
            </w:tcBorders>
            <w:shd w:val="clear" w:color="auto" w:fill="auto"/>
          </w:tcPr>
          <w:p w:rsidR="00EC4F40" w:rsidRPr="00EC4F40" w:rsidRDefault="00EC4F40" w:rsidP="00EC4F40">
            <w:pPr>
              <w:pStyle w:val="MDPI42tablebody"/>
              <w:rPr>
                <w:sz w:val="16"/>
                <w:szCs w:val="16"/>
              </w:rPr>
            </w:pPr>
          </w:p>
        </w:tc>
        <w:tc>
          <w:tcPr>
            <w:tcW w:w="850"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c>
          <w:tcPr>
            <w:tcW w:w="709"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c>
          <w:tcPr>
            <w:tcW w:w="709"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c>
          <w:tcPr>
            <w:tcW w:w="708"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c>
          <w:tcPr>
            <w:tcW w:w="709"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c>
          <w:tcPr>
            <w:tcW w:w="711" w:type="dxa"/>
            <w:tcBorders>
              <w:top w:val="nil"/>
              <w:left w:val="nil"/>
              <w:bottom w:val="single" w:sz="4" w:space="0" w:color="auto"/>
              <w:right w:val="single" w:sz="4" w:space="0" w:color="auto"/>
            </w:tcBorders>
            <w:shd w:val="clear" w:color="auto" w:fill="auto"/>
            <w:noWrap/>
          </w:tcPr>
          <w:p w:rsidR="00EC4F40" w:rsidRPr="00EC4F40" w:rsidRDefault="00EC4F40" w:rsidP="00EC4F40">
            <w:pPr>
              <w:pStyle w:val="MDPI42tablebody"/>
              <w:rPr>
                <w:sz w:val="16"/>
                <w:szCs w:val="16"/>
              </w:rPr>
            </w:pPr>
            <w:r w:rsidRPr="00EC4F40">
              <w:rPr>
                <w:sz w:val="16"/>
                <w:szCs w:val="16"/>
              </w:rPr>
              <w:t>-</w:t>
            </w:r>
          </w:p>
        </w:tc>
      </w:tr>
      <w:tr w:rsidR="00FE66B9" w:rsidRPr="00EC4F40" w:rsidTr="008E6C6C">
        <w:trPr>
          <w:trHeight w:val="1050"/>
        </w:trPr>
        <w:tc>
          <w:tcPr>
            <w:tcW w:w="704" w:type="dxa"/>
            <w:vMerge/>
            <w:tcBorders>
              <w:left w:val="single" w:sz="4" w:space="0" w:color="auto"/>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 xml:space="preserve">PURPOSE E4. Reduce losses and illicit use in electricity distribution </w:t>
            </w:r>
          </w:p>
        </w:tc>
        <w:tc>
          <w:tcPr>
            <w:tcW w:w="1843"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OBJECTIVE E4.1. Reduce nationwide electricity distribution losses to 8% by 2023</w:t>
            </w:r>
          </w:p>
        </w:tc>
        <w:tc>
          <w:tcPr>
            <w:tcW w:w="1701"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INCREASING EFFICIENCY TYPE SHOCK: A decrease shock in all electricity sectors at a rate of 2.18% (8%*3/11).</w:t>
            </w:r>
          </w:p>
        </w:tc>
        <w:tc>
          <w:tcPr>
            <w:tcW w:w="709" w:type="dxa"/>
            <w:tcBorders>
              <w:top w:val="nil"/>
              <w:left w:val="nil"/>
              <w:bottom w:val="single" w:sz="4" w:space="0" w:color="auto"/>
              <w:right w:val="single" w:sz="4" w:space="0" w:color="auto"/>
            </w:tcBorders>
            <w:shd w:val="clear" w:color="auto" w:fill="auto"/>
            <w:hideMark/>
          </w:tcPr>
          <w:p w:rsidR="00EC4F40" w:rsidRPr="00EC4F40" w:rsidRDefault="00EC4F40" w:rsidP="00EC4F40">
            <w:pPr>
              <w:pStyle w:val="MDPI42tablebody"/>
              <w:rPr>
                <w:sz w:val="16"/>
                <w:szCs w:val="16"/>
              </w:rPr>
            </w:pPr>
            <w:r w:rsidRPr="00EC4F40">
              <w:rPr>
                <w:sz w:val="16"/>
                <w:szCs w:val="16"/>
              </w:rPr>
              <w:t>NCCAP04</w:t>
            </w:r>
          </w:p>
        </w:tc>
        <w:tc>
          <w:tcPr>
            <w:tcW w:w="850"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r w:rsidRPr="00EC4F40">
              <w:rPr>
                <w:sz w:val="16"/>
                <w:szCs w:val="16"/>
              </w:rPr>
              <w:t>-0.14</w:t>
            </w:r>
          </w:p>
        </w:tc>
        <w:tc>
          <w:tcPr>
            <w:tcW w:w="709"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proofErr w:type="spellStart"/>
            <w:r w:rsidRPr="00EC4F40">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proofErr w:type="spellStart"/>
            <w:r w:rsidRPr="00EC4F40">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proofErr w:type="spellStart"/>
            <w:r w:rsidRPr="00EC4F40">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r w:rsidRPr="00EC4F40">
              <w:rPr>
                <w:sz w:val="16"/>
                <w:szCs w:val="16"/>
              </w:rPr>
              <w:t>-0.18</w:t>
            </w:r>
          </w:p>
        </w:tc>
        <w:tc>
          <w:tcPr>
            <w:tcW w:w="711" w:type="dxa"/>
            <w:tcBorders>
              <w:top w:val="nil"/>
              <w:left w:val="nil"/>
              <w:bottom w:val="single" w:sz="4" w:space="0" w:color="auto"/>
              <w:right w:val="single" w:sz="4" w:space="0" w:color="auto"/>
            </w:tcBorders>
            <w:shd w:val="clear" w:color="auto" w:fill="auto"/>
            <w:noWrap/>
            <w:hideMark/>
          </w:tcPr>
          <w:p w:rsidR="00EC4F40" w:rsidRPr="00EC4F40" w:rsidRDefault="00EC4F40" w:rsidP="00EC4F40">
            <w:pPr>
              <w:pStyle w:val="MDPI42tablebody"/>
              <w:rPr>
                <w:sz w:val="16"/>
                <w:szCs w:val="16"/>
              </w:rPr>
            </w:pPr>
            <w:r w:rsidRPr="00EC4F40">
              <w:rPr>
                <w:sz w:val="16"/>
                <w:szCs w:val="16"/>
              </w:rPr>
              <w:t>-0.39</w:t>
            </w:r>
          </w:p>
        </w:tc>
      </w:tr>
    </w:tbl>
    <w:p w:rsidR="00EC4F40" w:rsidRDefault="00EC4F40">
      <w:pPr>
        <w:rPr>
          <w:rFonts w:ascii="Arial" w:hAnsi="Arial" w:cs="Arial"/>
          <w:sz w:val="24"/>
          <w:szCs w:val="24"/>
        </w:rPr>
      </w:pPr>
    </w:p>
    <w:p w:rsidR="00EC4F40" w:rsidRDefault="00EC4F40">
      <w:pPr>
        <w:rPr>
          <w:rFonts w:ascii="Arial" w:hAnsi="Arial" w:cs="Arial"/>
          <w:sz w:val="24"/>
          <w:szCs w:val="24"/>
        </w:rPr>
      </w:pPr>
      <w:r>
        <w:rPr>
          <w:rFonts w:ascii="Arial" w:hAnsi="Arial" w:cs="Arial"/>
          <w:sz w:val="24"/>
          <w:szCs w:val="24"/>
        </w:rPr>
        <w:br w:type="page"/>
      </w:r>
    </w:p>
    <w:tbl>
      <w:tblPr>
        <w:tblW w:w="13887" w:type="dxa"/>
        <w:tblInd w:w="113" w:type="dxa"/>
        <w:tblLayout w:type="fixed"/>
        <w:tblLook w:val="04A0" w:firstRow="1" w:lastRow="0" w:firstColumn="1" w:lastColumn="0" w:noHBand="0" w:noVBand="1"/>
      </w:tblPr>
      <w:tblGrid>
        <w:gridCol w:w="704"/>
        <w:gridCol w:w="1701"/>
        <w:gridCol w:w="1985"/>
        <w:gridCol w:w="1559"/>
        <w:gridCol w:w="567"/>
        <w:gridCol w:w="2268"/>
        <w:gridCol w:w="709"/>
        <w:gridCol w:w="850"/>
        <w:gridCol w:w="709"/>
        <w:gridCol w:w="709"/>
        <w:gridCol w:w="708"/>
        <w:gridCol w:w="709"/>
        <w:gridCol w:w="709"/>
      </w:tblGrid>
      <w:tr w:rsidR="00EC4F40" w:rsidRPr="00FE66B9" w:rsidTr="008E6C6C">
        <w:trPr>
          <w:trHeight w:val="126"/>
        </w:trPr>
        <w:tc>
          <w:tcPr>
            <w:tcW w:w="13887"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EC4F40" w:rsidRPr="00FE66B9" w:rsidRDefault="00EC4F40" w:rsidP="00FE66B9">
            <w:pPr>
              <w:pStyle w:val="MDPI42tablebody"/>
              <w:rPr>
                <w:sz w:val="16"/>
                <w:szCs w:val="16"/>
              </w:rPr>
            </w:pPr>
            <w:r w:rsidRPr="00FE66B9">
              <w:rPr>
                <w:sz w:val="16"/>
                <w:szCs w:val="16"/>
              </w:rPr>
              <w:lastRenderedPageBreak/>
              <w:t>NCCAP Simulations (continues)</w:t>
            </w:r>
          </w:p>
        </w:tc>
      </w:tr>
      <w:tr w:rsidR="00EC4F40" w:rsidRPr="00FE66B9" w:rsidTr="008E6C6C">
        <w:trPr>
          <w:trHeight w:val="186"/>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NCCAP document</w:t>
            </w:r>
          </w:p>
        </w:tc>
        <w:tc>
          <w:tcPr>
            <w:tcW w:w="7938" w:type="dxa"/>
            <w:gridSpan w:val="9"/>
            <w:tcBorders>
              <w:top w:val="single" w:sz="4" w:space="0" w:color="auto"/>
              <w:left w:val="nil"/>
              <w:bottom w:val="single" w:sz="4" w:space="0" w:color="auto"/>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Authors</w:t>
            </w:r>
          </w:p>
        </w:tc>
      </w:tr>
      <w:tr w:rsidR="00FE66B9" w:rsidRPr="00FE66B9" w:rsidTr="008E6C6C">
        <w:trPr>
          <w:trHeight w:val="1260"/>
        </w:trPr>
        <w:tc>
          <w:tcPr>
            <w:tcW w:w="704" w:type="dxa"/>
            <w:tcBorders>
              <w:top w:val="nil"/>
              <w:left w:val="single" w:sz="4" w:space="0" w:color="auto"/>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Sector</w:t>
            </w:r>
          </w:p>
        </w:tc>
        <w:tc>
          <w:tcPr>
            <w:tcW w:w="1701"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Purpose</w:t>
            </w:r>
          </w:p>
        </w:tc>
        <w:tc>
          <w:tcPr>
            <w:tcW w:w="1985"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Objective</w:t>
            </w:r>
          </w:p>
        </w:tc>
        <w:tc>
          <w:tcPr>
            <w:tcW w:w="155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Action</w:t>
            </w:r>
          </w:p>
        </w:tc>
        <w:tc>
          <w:tcPr>
            <w:tcW w:w="567"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Measurability</w:t>
            </w:r>
          </w:p>
        </w:tc>
        <w:tc>
          <w:tcPr>
            <w:tcW w:w="2268"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Policy for 2015</w:t>
            </w:r>
          </w:p>
        </w:tc>
        <w:tc>
          <w:tcPr>
            <w:tcW w:w="70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Shock number</w:t>
            </w:r>
          </w:p>
        </w:tc>
        <w:tc>
          <w:tcPr>
            <w:tcW w:w="850"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Change of total greenhouse gas inventory (%)</w:t>
            </w:r>
          </w:p>
        </w:tc>
        <w:tc>
          <w:tcPr>
            <w:tcW w:w="70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Change in employment (%)</w:t>
            </w:r>
          </w:p>
        </w:tc>
        <w:tc>
          <w:tcPr>
            <w:tcW w:w="70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 xml:space="preserve">Change in </w:t>
            </w:r>
            <w:proofErr w:type="spellStart"/>
            <w:r w:rsidRPr="00FE66B9">
              <w:rPr>
                <w:sz w:val="16"/>
                <w:szCs w:val="16"/>
              </w:rPr>
              <w:t>gdp</w:t>
            </w:r>
            <w:proofErr w:type="spellEnd"/>
            <w:r w:rsidRPr="00FE66B9">
              <w:rPr>
                <w:sz w:val="16"/>
                <w:szCs w:val="16"/>
              </w:rPr>
              <w:t xml:space="preserve"> (%)</w:t>
            </w:r>
          </w:p>
        </w:tc>
        <w:tc>
          <w:tcPr>
            <w:tcW w:w="708"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Change in output (%)</w:t>
            </w:r>
          </w:p>
        </w:tc>
        <w:tc>
          <w:tcPr>
            <w:tcW w:w="70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Change in hard coal use (%)</w:t>
            </w:r>
          </w:p>
        </w:tc>
        <w:tc>
          <w:tcPr>
            <w:tcW w:w="709" w:type="dxa"/>
            <w:tcBorders>
              <w:top w:val="nil"/>
              <w:left w:val="nil"/>
              <w:bottom w:val="nil"/>
              <w:right w:val="single" w:sz="4" w:space="0" w:color="auto"/>
            </w:tcBorders>
            <w:shd w:val="clear" w:color="auto" w:fill="auto"/>
            <w:hideMark/>
          </w:tcPr>
          <w:p w:rsidR="00EC4F40" w:rsidRPr="00FE66B9" w:rsidRDefault="00EC4F40" w:rsidP="00FE66B9">
            <w:pPr>
              <w:pStyle w:val="MDPI42tablebody"/>
              <w:rPr>
                <w:sz w:val="16"/>
                <w:szCs w:val="16"/>
              </w:rPr>
            </w:pPr>
            <w:r w:rsidRPr="00FE66B9">
              <w:rPr>
                <w:sz w:val="16"/>
                <w:szCs w:val="16"/>
              </w:rPr>
              <w:t>Change in lignite use (%)</w:t>
            </w:r>
          </w:p>
        </w:tc>
      </w:tr>
      <w:tr w:rsidR="008E6C6C" w:rsidRPr="00FE66B9" w:rsidTr="008E6C6C">
        <w:trPr>
          <w:trHeight w:val="95"/>
        </w:trPr>
        <w:tc>
          <w:tcPr>
            <w:tcW w:w="704" w:type="dxa"/>
            <w:tcBorders>
              <w:top w:val="nil"/>
              <w:left w:val="single" w:sz="4" w:space="0" w:color="auto"/>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r>
      <w:tr w:rsidR="008E6C6C" w:rsidRPr="00FE66B9" w:rsidTr="008E6C6C">
        <w:trPr>
          <w:trHeight w:val="1260"/>
        </w:trPr>
        <w:tc>
          <w:tcPr>
            <w:tcW w:w="704" w:type="dxa"/>
            <w:vMerge w:val="restart"/>
            <w:tcBorders>
              <w:top w:val="nil"/>
              <w:left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INDUSTRY</w:t>
            </w:r>
          </w:p>
        </w:tc>
        <w:tc>
          <w:tcPr>
            <w:tcW w:w="1701" w:type="dxa"/>
            <w:vMerge w:val="restart"/>
            <w:tcBorders>
              <w:top w:val="nil"/>
              <w:left w:val="nil"/>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 xml:space="preserve">PURPOSE S1. Increase energy efficiency in the industry sector </w:t>
            </w: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OBJECTIVE S1.1. Making legal arrangements for energy efficiency and limitation of greenhouse gas emissions</w:t>
            </w: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All</w:t>
            </w: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No</w:t>
            </w: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r>
      <w:tr w:rsidR="008E6C6C" w:rsidRPr="00FE66B9" w:rsidTr="008E6C6C">
        <w:trPr>
          <w:trHeight w:val="1260"/>
        </w:trPr>
        <w:tc>
          <w:tcPr>
            <w:tcW w:w="704" w:type="dxa"/>
            <w:vMerge/>
            <w:tcBorders>
              <w:left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701" w:type="dxa"/>
            <w:vMerge/>
            <w:tcBorders>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OBJECTIVE S1.2 Limiting GHG emissions originating from energy usage (including electrical energy share) in the industry sector</w:t>
            </w: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All</w:t>
            </w: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No</w:t>
            </w: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r>
      <w:tr w:rsidR="008E6C6C" w:rsidRPr="00FE66B9" w:rsidTr="008E6C6C">
        <w:trPr>
          <w:trHeight w:val="1260"/>
        </w:trPr>
        <w:tc>
          <w:tcPr>
            <w:tcW w:w="704" w:type="dxa"/>
            <w:vMerge/>
            <w:tcBorders>
              <w:left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701" w:type="dxa"/>
            <w:vMerge w:val="restart"/>
            <w:tcBorders>
              <w:top w:val="nil"/>
              <w:left w:val="nil"/>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PURPOSE S2. Decrease the CO</w:t>
            </w:r>
            <w:r w:rsidRPr="0061151E">
              <w:rPr>
                <w:sz w:val="16"/>
                <w:szCs w:val="16"/>
                <w:vertAlign w:val="subscript"/>
              </w:rPr>
              <w:t>2</w:t>
            </w:r>
            <w:r w:rsidRPr="00FE66B9">
              <w:rPr>
                <w:sz w:val="16"/>
                <w:szCs w:val="16"/>
              </w:rPr>
              <w:t xml:space="preserve"> equivalent intensity per GDP produced in the industrial sector until 2023</w:t>
            </w: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OBJECTIVE S2.1. Developing the financial and technical infrastructure for limitation of GHG emissions</w:t>
            </w: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All</w:t>
            </w: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No</w:t>
            </w: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r>
      <w:tr w:rsidR="008E6C6C" w:rsidRPr="00FE66B9" w:rsidTr="008E6C6C">
        <w:trPr>
          <w:trHeight w:val="1260"/>
        </w:trPr>
        <w:tc>
          <w:tcPr>
            <w:tcW w:w="704" w:type="dxa"/>
            <w:vMerge/>
            <w:tcBorders>
              <w:left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701" w:type="dxa"/>
            <w:vMerge/>
            <w:tcBorders>
              <w:left w:val="nil"/>
              <w:bottom w:val="single" w:sz="4" w:space="0" w:color="auto"/>
              <w:right w:val="single" w:sz="4" w:space="0" w:color="auto"/>
            </w:tcBorders>
            <w:shd w:val="clear" w:color="auto" w:fill="auto"/>
            <w:vAlign w:val="center"/>
          </w:tcPr>
          <w:p w:rsidR="00FE66B9" w:rsidRPr="00FE66B9" w:rsidRDefault="00FE66B9" w:rsidP="00FE66B9">
            <w:pPr>
              <w:pStyle w:val="MDPI42tablebody"/>
              <w:rPr>
                <w:sz w:val="16"/>
                <w:szCs w:val="16"/>
              </w:rPr>
            </w:pP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OBJECTIVE S2.2. Develop and use new technologies for limitation of GHG emissions in the industry sector until 2023</w:t>
            </w: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All</w:t>
            </w: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No</w:t>
            </w: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r>
      <w:tr w:rsidR="008E6C6C" w:rsidRPr="00FE66B9" w:rsidTr="008E6C6C">
        <w:trPr>
          <w:trHeight w:val="1260"/>
        </w:trPr>
        <w:tc>
          <w:tcPr>
            <w:tcW w:w="704" w:type="dxa"/>
            <w:vMerge/>
            <w:tcBorders>
              <w:left w:val="single" w:sz="4" w:space="0" w:color="auto"/>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PURPOSE S3. Strengthen the capacity of the industry sector for combating climate change</w:t>
            </w:r>
          </w:p>
        </w:tc>
        <w:tc>
          <w:tcPr>
            <w:tcW w:w="1985"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OBJECTIVE S3.1. Building the information infrastructure for limitation of GHG emissions in the industry sector until 2015</w:t>
            </w:r>
          </w:p>
        </w:tc>
        <w:tc>
          <w:tcPr>
            <w:tcW w:w="155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All</w:t>
            </w:r>
          </w:p>
        </w:tc>
        <w:tc>
          <w:tcPr>
            <w:tcW w:w="567"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No</w:t>
            </w:r>
          </w:p>
        </w:tc>
        <w:tc>
          <w:tcPr>
            <w:tcW w:w="226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850"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8"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c>
          <w:tcPr>
            <w:tcW w:w="709" w:type="dxa"/>
            <w:tcBorders>
              <w:top w:val="nil"/>
              <w:left w:val="nil"/>
              <w:bottom w:val="single" w:sz="4" w:space="0" w:color="auto"/>
              <w:right w:val="single" w:sz="4" w:space="0" w:color="auto"/>
            </w:tcBorders>
            <w:shd w:val="clear" w:color="auto" w:fill="auto"/>
          </w:tcPr>
          <w:p w:rsidR="00FE66B9" w:rsidRPr="00FE66B9" w:rsidRDefault="00FE66B9" w:rsidP="00FE66B9">
            <w:pPr>
              <w:pStyle w:val="MDPI42tablebody"/>
              <w:rPr>
                <w:sz w:val="16"/>
                <w:szCs w:val="16"/>
              </w:rPr>
            </w:pPr>
            <w:r w:rsidRPr="00FE66B9">
              <w:rPr>
                <w:sz w:val="16"/>
                <w:szCs w:val="16"/>
              </w:rPr>
              <w:t>-</w:t>
            </w:r>
          </w:p>
        </w:tc>
      </w:tr>
    </w:tbl>
    <w:p w:rsidR="00974022" w:rsidRDefault="00974022">
      <w:pPr>
        <w:rPr>
          <w:rFonts w:ascii="Arial" w:hAnsi="Arial" w:cs="Arial"/>
          <w:sz w:val="24"/>
          <w:szCs w:val="24"/>
        </w:rPr>
      </w:pPr>
      <w:r>
        <w:rPr>
          <w:rFonts w:ascii="Arial" w:hAnsi="Arial" w:cs="Arial"/>
          <w:sz w:val="24"/>
          <w:szCs w:val="24"/>
        </w:rPr>
        <w:br w:type="page"/>
      </w:r>
    </w:p>
    <w:tbl>
      <w:tblPr>
        <w:tblW w:w="13891" w:type="dxa"/>
        <w:tblInd w:w="113" w:type="dxa"/>
        <w:tblLayout w:type="fixed"/>
        <w:tblLook w:val="04A0" w:firstRow="1" w:lastRow="0" w:firstColumn="1" w:lastColumn="0" w:noHBand="0" w:noVBand="1"/>
      </w:tblPr>
      <w:tblGrid>
        <w:gridCol w:w="704"/>
        <w:gridCol w:w="1559"/>
        <w:gridCol w:w="2106"/>
        <w:gridCol w:w="1580"/>
        <w:gridCol w:w="567"/>
        <w:gridCol w:w="2268"/>
        <w:gridCol w:w="709"/>
        <w:gridCol w:w="850"/>
        <w:gridCol w:w="709"/>
        <w:gridCol w:w="709"/>
        <w:gridCol w:w="708"/>
        <w:gridCol w:w="709"/>
        <w:gridCol w:w="713"/>
      </w:tblGrid>
      <w:tr w:rsidR="00836951" w:rsidRPr="008E6C6C" w:rsidTr="008E6C6C">
        <w:trPr>
          <w:trHeight w:val="315"/>
        </w:trPr>
        <w:tc>
          <w:tcPr>
            <w:tcW w:w="1389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lastRenderedPageBreak/>
              <w:t>NCCAP Simulations (continues)</w:t>
            </w:r>
          </w:p>
        </w:tc>
      </w:tr>
      <w:tr w:rsidR="00836951" w:rsidRPr="008E6C6C" w:rsidTr="008E6C6C">
        <w:trPr>
          <w:trHeight w:val="315"/>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NCCAP document</w:t>
            </w:r>
          </w:p>
        </w:tc>
        <w:tc>
          <w:tcPr>
            <w:tcW w:w="7942" w:type="dxa"/>
            <w:gridSpan w:val="9"/>
            <w:tcBorders>
              <w:top w:val="single" w:sz="4" w:space="0" w:color="auto"/>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Authors</w:t>
            </w:r>
          </w:p>
        </w:tc>
      </w:tr>
      <w:tr w:rsidR="008E6C6C" w:rsidRPr="008E6C6C" w:rsidTr="008E6C6C">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Sector</w:t>
            </w:r>
          </w:p>
        </w:tc>
        <w:tc>
          <w:tcPr>
            <w:tcW w:w="155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w:t>
            </w:r>
          </w:p>
        </w:tc>
        <w:tc>
          <w:tcPr>
            <w:tcW w:w="210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w:t>
            </w:r>
          </w:p>
        </w:tc>
        <w:tc>
          <w:tcPr>
            <w:tcW w:w="158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Change in </w:t>
            </w:r>
            <w:proofErr w:type="spellStart"/>
            <w:r w:rsidRPr="008E6C6C">
              <w:rPr>
                <w:sz w:val="16"/>
                <w:szCs w:val="16"/>
              </w:rPr>
              <w:t>gdp</w:t>
            </w:r>
            <w:proofErr w:type="spellEnd"/>
            <w:r w:rsidRPr="008E6C6C">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hard coal use (%)</w:t>
            </w:r>
          </w:p>
        </w:tc>
        <w:tc>
          <w:tcPr>
            <w:tcW w:w="713"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lignite use (%)</w:t>
            </w:r>
          </w:p>
        </w:tc>
      </w:tr>
      <w:tr w:rsidR="008E6C6C" w:rsidRPr="008E6C6C" w:rsidTr="008E6C6C">
        <w:trPr>
          <w:trHeight w:val="1095"/>
        </w:trPr>
        <w:tc>
          <w:tcPr>
            <w:tcW w:w="704" w:type="dxa"/>
            <w:vMerge w:val="restart"/>
            <w:tcBorders>
              <w:top w:val="nil"/>
              <w:left w:val="single" w:sz="4" w:space="0" w:color="auto"/>
              <w:bottom w:val="single" w:sz="4" w:space="0" w:color="000000"/>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TRANSPORTATION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 U</w:t>
            </w:r>
            <w:proofErr w:type="gramStart"/>
            <w:r w:rsidRPr="008E6C6C">
              <w:rPr>
                <w:sz w:val="16"/>
                <w:szCs w:val="16"/>
              </w:rPr>
              <w:t>1.Developing</w:t>
            </w:r>
            <w:proofErr w:type="gramEnd"/>
            <w:r w:rsidRPr="008E6C6C">
              <w:rPr>
                <w:sz w:val="16"/>
                <w:szCs w:val="16"/>
              </w:rPr>
              <w:t xml:space="preserve"> an intermodal transport system and ensuring balanced utilization of transport modes in freight and passenger transport</w:t>
            </w:r>
          </w:p>
        </w:tc>
        <w:tc>
          <w:tcPr>
            <w:tcW w:w="210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U1.1. Increasing the share of railroads in freight transportation (which was 5% in 2009) to 15% and in passenger transportation (which was 2% in 2009) to 10% by 2023</w:t>
            </w:r>
          </w:p>
        </w:tc>
        <w:tc>
          <w:tcPr>
            <w:tcW w:w="158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TRANSFERRING VOLUME TYPE SHOCK: A transfer shock in exogenous final demand accounts from highway transport to railway transport at a rate of 10% of total highway transport (5 899 214).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NCCAP05</w:t>
            </w:r>
          </w:p>
        </w:tc>
        <w:tc>
          <w:tcPr>
            <w:tcW w:w="850"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-0.22</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-0.05</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-0.01</w:t>
            </w:r>
          </w:p>
        </w:tc>
        <w:tc>
          <w:tcPr>
            <w:tcW w:w="708"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c>
          <w:tcPr>
            <w:tcW w:w="713"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r>
      <w:tr w:rsidR="008E6C6C" w:rsidRPr="008E6C6C" w:rsidTr="008E6C6C">
        <w:trPr>
          <w:trHeight w:val="1275"/>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rsidR="00974022" w:rsidRPr="008E6C6C" w:rsidRDefault="00974022" w:rsidP="008E6C6C">
            <w:pPr>
              <w:pStyle w:val="MDPI42tablebody"/>
              <w:rPr>
                <w:sz w:val="16"/>
                <w:szCs w:val="16"/>
              </w:rPr>
            </w:pPr>
          </w:p>
        </w:tc>
        <w:tc>
          <w:tcPr>
            <w:tcW w:w="210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U1.2. Increasing the share of seaways in cabotage freight transportation (which was 2.66% in ton-km in 2009) to 10%, and in passenger transportation (which was 0.37% in passenger-km in 2009) to 4% as of 2023</w:t>
            </w:r>
          </w:p>
        </w:tc>
        <w:tc>
          <w:tcPr>
            <w:tcW w:w="158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TRANSFERRING VOLUME TYPE SHOCK: A transfer shock in exogenous final demand accounts from highway transport to water transport at a rate of 10% of total highway transport (5 899 214).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NCCAP06</w:t>
            </w:r>
          </w:p>
        </w:tc>
        <w:tc>
          <w:tcPr>
            <w:tcW w:w="850"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-0.30</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0.08</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0.02</w:t>
            </w:r>
          </w:p>
        </w:tc>
        <w:tc>
          <w:tcPr>
            <w:tcW w:w="708"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0.01</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c>
          <w:tcPr>
            <w:tcW w:w="713"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0.02</w:t>
            </w:r>
          </w:p>
        </w:tc>
      </w:tr>
      <w:tr w:rsidR="008E6C6C" w:rsidRPr="008E6C6C" w:rsidTr="008E6C6C">
        <w:trPr>
          <w:trHeight w:val="111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rsidR="00974022" w:rsidRPr="008E6C6C" w:rsidRDefault="00974022" w:rsidP="008E6C6C">
            <w:pPr>
              <w:pStyle w:val="MDPI42tablebody"/>
              <w:rPr>
                <w:sz w:val="16"/>
                <w:szCs w:val="16"/>
              </w:rPr>
            </w:pPr>
          </w:p>
        </w:tc>
        <w:tc>
          <w:tcPr>
            <w:tcW w:w="210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U1.3. Decreasing the share of highways in freight transportation (which was 80.63% in ton-km in 2009) below 60%, and in passenger transport (which was 89.59 in passenger-km in 2009) to 72% as of 2023</w:t>
            </w:r>
          </w:p>
        </w:tc>
        <w:tc>
          <w:tcPr>
            <w:tcW w:w="158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TRANSFERRING VOLUME TYPE SHOCK: A transfer shock in exogenous final demand accounts from highway transport to railway transport at a rate of 20% of total highway transport (11 798 428).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NCCAP07</w:t>
            </w:r>
          </w:p>
        </w:tc>
        <w:tc>
          <w:tcPr>
            <w:tcW w:w="850"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-0.44</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-0.09</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-0.02</w:t>
            </w:r>
          </w:p>
        </w:tc>
        <w:tc>
          <w:tcPr>
            <w:tcW w:w="708"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c>
          <w:tcPr>
            <w:tcW w:w="709"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0.00</w:t>
            </w:r>
          </w:p>
        </w:tc>
        <w:tc>
          <w:tcPr>
            <w:tcW w:w="713" w:type="dxa"/>
            <w:tcBorders>
              <w:top w:val="nil"/>
              <w:left w:val="nil"/>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t>-0.01</w:t>
            </w:r>
          </w:p>
        </w:tc>
      </w:tr>
      <w:tr w:rsidR="008E6C6C" w:rsidRPr="008E6C6C" w:rsidTr="008E6C6C">
        <w:trPr>
          <w:trHeight w:val="63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rsidR="00974022" w:rsidRPr="008E6C6C" w:rsidRDefault="00974022" w:rsidP="008E6C6C">
            <w:pPr>
              <w:pStyle w:val="MDPI42tablebody"/>
              <w:rPr>
                <w:sz w:val="16"/>
                <w:szCs w:val="16"/>
              </w:rPr>
            </w:pPr>
          </w:p>
        </w:tc>
        <w:tc>
          <w:tcPr>
            <w:tcW w:w="210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U1.4. Preparing and putting in practice the “Transportation Master Plan” until 2023</w:t>
            </w:r>
          </w:p>
        </w:tc>
        <w:tc>
          <w:tcPr>
            <w:tcW w:w="158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3"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bl>
    <w:p w:rsidR="00974022" w:rsidRDefault="00974022">
      <w:pPr>
        <w:rPr>
          <w:rFonts w:ascii="Arial" w:hAnsi="Arial" w:cs="Arial"/>
          <w:sz w:val="24"/>
          <w:szCs w:val="24"/>
        </w:rPr>
      </w:pPr>
    </w:p>
    <w:tbl>
      <w:tblPr>
        <w:tblW w:w="13892" w:type="dxa"/>
        <w:tblInd w:w="113" w:type="dxa"/>
        <w:tblLayout w:type="fixed"/>
        <w:tblLook w:val="04A0" w:firstRow="1" w:lastRow="0" w:firstColumn="1" w:lastColumn="0" w:noHBand="0" w:noVBand="1"/>
      </w:tblPr>
      <w:tblGrid>
        <w:gridCol w:w="704"/>
        <w:gridCol w:w="1701"/>
        <w:gridCol w:w="2268"/>
        <w:gridCol w:w="1276"/>
        <w:gridCol w:w="567"/>
        <w:gridCol w:w="2268"/>
        <w:gridCol w:w="709"/>
        <w:gridCol w:w="850"/>
        <w:gridCol w:w="709"/>
        <w:gridCol w:w="709"/>
        <w:gridCol w:w="708"/>
        <w:gridCol w:w="709"/>
        <w:gridCol w:w="714"/>
      </w:tblGrid>
      <w:tr w:rsidR="00974022" w:rsidRPr="008E6C6C" w:rsidTr="008E6C6C">
        <w:trPr>
          <w:trHeight w:val="126"/>
        </w:trPr>
        <w:tc>
          <w:tcPr>
            <w:tcW w:w="13892"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974022" w:rsidRPr="008E6C6C" w:rsidRDefault="00974022" w:rsidP="008E6C6C">
            <w:pPr>
              <w:pStyle w:val="MDPI42tablebody"/>
              <w:rPr>
                <w:sz w:val="16"/>
                <w:szCs w:val="16"/>
              </w:rPr>
            </w:pPr>
            <w:r w:rsidRPr="008E6C6C">
              <w:rPr>
                <w:sz w:val="16"/>
                <w:szCs w:val="16"/>
              </w:rPr>
              <w:lastRenderedPageBreak/>
              <w:t>NCCAP Simulations (continues)</w:t>
            </w:r>
          </w:p>
        </w:tc>
      </w:tr>
      <w:tr w:rsidR="00974022" w:rsidRPr="008E6C6C" w:rsidTr="008E6C6C">
        <w:trPr>
          <w:trHeight w:val="186"/>
        </w:trPr>
        <w:tc>
          <w:tcPr>
            <w:tcW w:w="5949" w:type="dxa"/>
            <w:gridSpan w:val="4"/>
            <w:tcBorders>
              <w:top w:val="single" w:sz="4" w:space="0" w:color="auto"/>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NCCAP document</w:t>
            </w:r>
          </w:p>
        </w:tc>
        <w:tc>
          <w:tcPr>
            <w:tcW w:w="7943" w:type="dxa"/>
            <w:gridSpan w:val="9"/>
            <w:tcBorders>
              <w:top w:val="single" w:sz="4" w:space="0" w:color="auto"/>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Authors</w:t>
            </w:r>
          </w:p>
        </w:tc>
      </w:tr>
      <w:tr w:rsidR="00FE2790" w:rsidRPr="008E6C6C" w:rsidTr="00FE2790">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Change in </w:t>
            </w:r>
            <w:proofErr w:type="spellStart"/>
            <w:r w:rsidRPr="008E6C6C">
              <w:rPr>
                <w:sz w:val="16"/>
                <w:szCs w:val="16"/>
              </w:rPr>
              <w:t>gdp</w:t>
            </w:r>
            <w:proofErr w:type="spellEnd"/>
            <w:r w:rsidRPr="008E6C6C">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hard coal use (%)</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Change in lignite use (%)</w:t>
            </w:r>
          </w:p>
        </w:tc>
      </w:tr>
      <w:tr w:rsidR="00FE2790" w:rsidRPr="008E6C6C" w:rsidTr="00FE2790">
        <w:trPr>
          <w:trHeight w:val="630"/>
        </w:trPr>
        <w:tc>
          <w:tcPr>
            <w:tcW w:w="704" w:type="dxa"/>
            <w:vMerge w:val="restart"/>
            <w:tcBorders>
              <w:top w:val="nil"/>
              <w:left w:val="single" w:sz="4" w:space="0" w:color="auto"/>
              <w:bottom w:val="single" w:sz="4" w:space="0" w:color="000000"/>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TRANSPORTATION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 U2: Restructuring urban transportation in line with sustainable transport principles</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U2.1. Limiting emission increase rate of individual vehicles in intracity transport</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r w:rsidR="00FE2790" w:rsidRPr="008E6C6C" w:rsidTr="00FE2790">
        <w:trPr>
          <w:trHeight w:val="105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8E6C6C" w:rsidRDefault="00974022" w:rsidP="008E6C6C">
            <w:pPr>
              <w:pStyle w:val="MDPI42tablebody"/>
              <w:rPr>
                <w:sz w:val="16"/>
                <w:szCs w:val="16"/>
              </w:rPr>
            </w:pP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U2.2. Developing the necessary legislation, institutional structure and guidance documents until the end of 2023 for implementation of sustainable transport planning in cities</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r w:rsidR="00FE2790" w:rsidRPr="008E6C6C" w:rsidTr="00FE2790">
        <w:trPr>
          <w:trHeight w:val="84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 U3: Dissemination of the use of alternative fuels and clean vehicle technologies in the transport sector</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U3.1. Making legal arrangements and building capacity to increase use of alternative fuels and clean vehicles until 2023</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r w:rsidR="00FE2790" w:rsidRPr="008E6C6C" w:rsidTr="00FE2790">
        <w:trPr>
          <w:trHeight w:val="63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8E6C6C" w:rsidRDefault="00974022" w:rsidP="008E6C6C">
            <w:pPr>
              <w:pStyle w:val="MDPI42tablebody"/>
              <w:rPr>
                <w:sz w:val="16"/>
                <w:szCs w:val="16"/>
              </w:rPr>
            </w:pP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U3.2. Taking local measures to encourage use of alternative fuel and clean vehicles in urban transport until 2023</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r w:rsidR="00FE2790" w:rsidRPr="008E6C6C" w:rsidTr="00FE2790">
        <w:trPr>
          <w:trHeight w:val="1098"/>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 xml:space="preserve">PURPOSE U4. Increasing efficiency in energy consumption of transportation sector </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U4.1. Limiting the energy consumption in transport until 2023</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r w:rsidR="00FE2790" w:rsidRPr="008E6C6C" w:rsidTr="00FE2790">
        <w:trPr>
          <w:trHeight w:val="1260"/>
        </w:trPr>
        <w:tc>
          <w:tcPr>
            <w:tcW w:w="704" w:type="dxa"/>
            <w:vMerge/>
            <w:tcBorders>
              <w:top w:val="nil"/>
              <w:left w:val="single" w:sz="4" w:space="0" w:color="auto"/>
              <w:bottom w:val="single" w:sz="4" w:space="0" w:color="000000"/>
              <w:right w:val="single" w:sz="4" w:space="0" w:color="auto"/>
            </w:tcBorders>
            <w:vAlign w:val="center"/>
            <w:hideMark/>
          </w:tcPr>
          <w:p w:rsidR="00974022" w:rsidRPr="008E6C6C" w:rsidRDefault="00974022" w:rsidP="008E6C6C">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PURPOSE U5. Developing the information infrastructure in the transport sector</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OBJECTIVE U5.1. Building a well-organized, reliable and sustainable information infrastructure with transport and travel data including GHG emission data, until the end of 2016</w:t>
            </w:r>
          </w:p>
        </w:tc>
        <w:tc>
          <w:tcPr>
            <w:tcW w:w="1276"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c>
          <w:tcPr>
            <w:tcW w:w="714" w:type="dxa"/>
            <w:tcBorders>
              <w:top w:val="nil"/>
              <w:left w:val="nil"/>
              <w:bottom w:val="single" w:sz="4" w:space="0" w:color="auto"/>
              <w:right w:val="single" w:sz="4" w:space="0" w:color="auto"/>
            </w:tcBorders>
            <w:shd w:val="clear" w:color="auto" w:fill="auto"/>
            <w:hideMark/>
          </w:tcPr>
          <w:p w:rsidR="00974022" w:rsidRPr="008E6C6C" w:rsidRDefault="00974022" w:rsidP="008E6C6C">
            <w:pPr>
              <w:pStyle w:val="MDPI42tablebody"/>
              <w:rPr>
                <w:sz w:val="16"/>
                <w:szCs w:val="16"/>
              </w:rPr>
            </w:pPr>
            <w:r w:rsidRPr="008E6C6C">
              <w:rPr>
                <w:sz w:val="16"/>
                <w:szCs w:val="16"/>
              </w:rPr>
              <w:t>-</w:t>
            </w:r>
          </w:p>
        </w:tc>
      </w:tr>
    </w:tbl>
    <w:p w:rsidR="00974022" w:rsidRDefault="00974022">
      <w:pPr>
        <w:rPr>
          <w:rFonts w:ascii="Arial" w:hAnsi="Arial" w:cs="Arial"/>
          <w:sz w:val="24"/>
          <w:szCs w:val="24"/>
        </w:rPr>
      </w:pPr>
    </w:p>
    <w:tbl>
      <w:tblPr>
        <w:tblW w:w="13890" w:type="dxa"/>
        <w:tblInd w:w="113" w:type="dxa"/>
        <w:tblLayout w:type="fixed"/>
        <w:tblLook w:val="04A0" w:firstRow="1" w:lastRow="0" w:firstColumn="1" w:lastColumn="0" w:noHBand="0" w:noVBand="1"/>
      </w:tblPr>
      <w:tblGrid>
        <w:gridCol w:w="704"/>
        <w:gridCol w:w="1701"/>
        <w:gridCol w:w="2126"/>
        <w:gridCol w:w="1418"/>
        <w:gridCol w:w="567"/>
        <w:gridCol w:w="2268"/>
        <w:gridCol w:w="709"/>
        <w:gridCol w:w="850"/>
        <w:gridCol w:w="709"/>
        <w:gridCol w:w="709"/>
        <w:gridCol w:w="708"/>
        <w:gridCol w:w="709"/>
        <w:gridCol w:w="712"/>
      </w:tblGrid>
      <w:tr w:rsidR="00836951" w:rsidRPr="00FE2790" w:rsidTr="008D79E2">
        <w:trPr>
          <w:trHeight w:val="315"/>
        </w:trPr>
        <w:tc>
          <w:tcPr>
            <w:tcW w:w="13890"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974022" w:rsidRPr="00FE2790" w:rsidRDefault="00974022" w:rsidP="00FE2790">
            <w:pPr>
              <w:pStyle w:val="MDPI42tablebody"/>
              <w:rPr>
                <w:sz w:val="16"/>
                <w:szCs w:val="16"/>
              </w:rPr>
            </w:pPr>
            <w:r w:rsidRPr="00FE2790">
              <w:rPr>
                <w:sz w:val="16"/>
                <w:szCs w:val="16"/>
              </w:rPr>
              <w:t>NCCAP Simulations (continues)</w:t>
            </w:r>
          </w:p>
        </w:tc>
      </w:tr>
      <w:tr w:rsidR="00836951" w:rsidRPr="00FE2790" w:rsidTr="008D79E2">
        <w:trPr>
          <w:trHeight w:val="315"/>
        </w:trPr>
        <w:tc>
          <w:tcPr>
            <w:tcW w:w="5949"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74022" w:rsidRPr="00FE2790" w:rsidRDefault="00974022" w:rsidP="00FE2790">
            <w:pPr>
              <w:pStyle w:val="MDPI42tablebody"/>
              <w:rPr>
                <w:sz w:val="16"/>
                <w:szCs w:val="16"/>
              </w:rPr>
            </w:pPr>
            <w:r w:rsidRPr="00FE2790">
              <w:rPr>
                <w:sz w:val="16"/>
                <w:szCs w:val="16"/>
              </w:rPr>
              <w:t>NCCAP document</w:t>
            </w:r>
          </w:p>
        </w:tc>
        <w:tc>
          <w:tcPr>
            <w:tcW w:w="7941" w:type="dxa"/>
            <w:gridSpan w:val="9"/>
            <w:tcBorders>
              <w:top w:val="single" w:sz="4" w:space="0" w:color="auto"/>
              <w:left w:val="nil"/>
              <w:bottom w:val="single" w:sz="4" w:space="0" w:color="auto"/>
              <w:right w:val="single" w:sz="4" w:space="0" w:color="000000"/>
            </w:tcBorders>
            <w:shd w:val="clear" w:color="auto" w:fill="auto"/>
            <w:hideMark/>
          </w:tcPr>
          <w:p w:rsidR="00974022" w:rsidRPr="00FE2790" w:rsidRDefault="00974022" w:rsidP="00FE2790">
            <w:pPr>
              <w:pStyle w:val="MDPI42tablebody"/>
              <w:rPr>
                <w:sz w:val="16"/>
                <w:szCs w:val="16"/>
              </w:rPr>
            </w:pPr>
            <w:r w:rsidRPr="00FE2790">
              <w:rPr>
                <w:sz w:val="16"/>
                <w:szCs w:val="16"/>
              </w:rPr>
              <w:t>Authors</w:t>
            </w:r>
          </w:p>
        </w:tc>
      </w:tr>
      <w:tr w:rsidR="00FE2790" w:rsidRPr="00FE2790" w:rsidTr="008D79E2">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Purpose</w:t>
            </w: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 xml:space="preserve">Change in </w:t>
            </w:r>
            <w:proofErr w:type="spellStart"/>
            <w:r w:rsidRPr="00FE2790">
              <w:rPr>
                <w:sz w:val="16"/>
                <w:szCs w:val="16"/>
              </w:rPr>
              <w:t>gdp</w:t>
            </w:r>
            <w:proofErr w:type="spellEnd"/>
            <w:r w:rsidRPr="00FE2790">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Change in hard coal use (%)</w:t>
            </w:r>
          </w:p>
        </w:tc>
        <w:tc>
          <w:tcPr>
            <w:tcW w:w="712"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Change in lignite use (%)</w:t>
            </w:r>
          </w:p>
        </w:tc>
      </w:tr>
      <w:tr w:rsidR="00FE2790" w:rsidRPr="00FE2790" w:rsidTr="008D79E2">
        <w:trPr>
          <w:trHeight w:val="1260"/>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WASTE</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PURPOSE A1. Ensure Effective Waste Management</w:t>
            </w: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 A1.1. Reduce the quantity of biodegradable wastes admitted to landfill sites, by 75% in weight till 2015, by 50% till 2018 and by 35% till 2025</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Yes</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INCREASING EFIICIENCY TYPE SHOCK: A 10% decrease in all waste amount. (Objective A1.1. does not give a clear goal. Waste statistics of Turkish Statistical Institute does not give sufficient detail about waste types.)</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NCCAP08</w:t>
            </w:r>
          </w:p>
        </w:tc>
        <w:tc>
          <w:tcPr>
            <w:tcW w:w="850"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r w:rsidRPr="00FE2790">
              <w:rPr>
                <w:sz w:val="16"/>
                <w:szCs w:val="16"/>
              </w:rPr>
              <w:t>-0.05</w:t>
            </w:r>
          </w:p>
        </w:tc>
        <w:tc>
          <w:tcPr>
            <w:tcW w:w="709"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proofErr w:type="spellStart"/>
            <w:r w:rsidRPr="00FE2790">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proofErr w:type="spellStart"/>
            <w:r w:rsidRPr="00FE2790">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proofErr w:type="spellStart"/>
            <w:r w:rsidRPr="00FE2790">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r w:rsidRPr="00FE2790">
              <w:rPr>
                <w:sz w:val="16"/>
                <w:szCs w:val="16"/>
              </w:rPr>
              <w:t>-0.02</w:t>
            </w:r>
          </w:p>
        </w:tc>
        <w:tc>
          <w:tcPr>
            <w:tcW w:w="712" w:type="dxa"/>
            <w:tcBorders>
              <w:top w:val="nil"/>
              <w:left w:val="nil"/>
              <w:bottom w:val="single" w:sz="4" w:space="0" w:color="auto"/>
              <w:right w:val="single" w:sz="4" w:space="0" w:color="auto"/>
            </w:tcBorders>
            <w:shd w:val="clear" w:color="auto" w:fill="auto"/>
            <w:noWrap/>
            <w:vAlign w:val="bottom"/>
            <w:hideMark/>
          </w:tcPr>
          <w:p w:rsidR="00974022" w:rsidRPr="00FE2790" w:rsidRDefault="00974022" w:rsidP="00FE2790">
            <w:pPr>
              <w:pStyle w:val="MDPI42tablebody"/>
              <w:rPr>
                <w:sz w:val="16"/>
                <w:szCs w:val="16"/>
              </w:rPr>
            </w:pPr>
            <w:r w:rsidRPr="00FE2790">
              <w:rPr>
                <w:sz w:val="16"/>
                <w:szCs w:val="16"/>
              </w:rPr>
              <w:t>-0.02</w:t>
            </w:r>
          </w:p>
        </w:tc>
      </w:tr>
      <w:tr w:rsidR="00FE2790" w:rsidRPr="00FE2790" w:rsidTr="008D79E2">
        <w:trPr>
          <w:trHeight w:val="855"/>
        </w:trPr>
        <w:tc>
          <w:tcPr>
            <w:tcW w:w="704"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 A1.2. Establish integrated solid waste disposal facilities across the country, and dispose 100% of municipal wastes in these facilities, until the end of 2023</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r>
      <w:tr w:rsidR="00FE2790" w:rsidRPr="00FE2790" w:rsidTr="008D79E2">
        <w:trPr>
          <w:trHeight w:val="420"/>
        </w:trPr>
        <w:tc>
          <w:tcPr>
            <w:tcW w:w="704"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 A1.3. Finalize Packaging Waste Management Plans</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r>
      <w:tr w:rsidR="00FE2790" w:rsidRPr="00FE2790" w:rsidTr="008D79E2">
        <w:trPr>
          <w:trHeight w:val="1050"/>
        </w:trPr>
        <w:tc>
          <w:tcPr>
            <w:tcW w:w="704"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 A1.4. Establish the recycling facilities foreseen within the scope of the Solid Waste Master Plan with the EU-aligned Integrated Waste Management approach</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r>
      <w:tr w:rsidR="00FE2790" w:rsidRPr="00FE2790" w:rsidTr="008D79E2">
        <w:trPr>
          <w:trHeight w:val="630"/>
        </w:trPr>
        <w:tc>
          <w:tcPr>
            <w:tcW w:w="704"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FE2790" w:rsidRDefault="00974022" w:rsidP="00FE2790">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OBJECTIVE A1.5. Termination of uncontrolled disposal of wastes 100% by 2023</w:t>
            </w:r>
          </w:p>
        </w:tc>
        <w:tc>
          <w:tcPr>
            <w:tcW w:w="141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FE2790" w:rsidRDefault="00974022" w:rsidP="00FE2790">
            <w:pPr>
              <w:pStyle w:val="MDPI42tablebody"/>
              <w:rPr>
                <w:sz w:val="16"/>
                <w:szCs w:val="16"/>
              </w:rPr>
            </w:pPr>
            <w:r w:rsidRPr="00FE2790">
              <w:rPr>
                <w:sz w:val="16"/>
                <w:szCs w:val="16"/>
              </w:rPr>
              <w:t>-</w:t>
            </w:r>
          </w:p>
        </w:tc>
      </w:tr>
      <w:tr w:rsidR="00974022" w:rsidRPr="008D79E2" w:rsidTr="008D79E2">
        <w:trPr>
          <w:trHeight w:val="315"/>
        </w:trPr>
        <w:tc>
          <w:tcPr>
            <w:tcW w:w="13890"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974022" w:rsidRPr="008D79E2" w:rsidRDefault="00974022" w:rsidP="008D79E2">
            <w:pPr>
              <w:pStyle w:val="MDPI42tablebody"/>
              <w:rPr>
                <w:sz w:val="16"/>
                <w:szCs w:val="16"/>
              </w:rPr>
            </w:pPr>
            <w:r w:rsidRPr="008D79E2">
              <w:rPr>
                <w:sz w:val="16"/>
                <w:szCs w:val="16"/>
              </w:rPr>
              <w:lastRenderedPageBreak/>
              <w:t>NCCAP Simulations (continues)</w:t>
            </w:r>
          </w:p>
        </w:tc>
      </w:tr>
      <w:tr w:rsidR="00974022" w:rsidRPr="008D79E2" w:rsidTr="008D79E2">
        <w:trPr>
          <w:trHeight w:val="315"/>
        </w:trPr>
        <w:tc>
          <w:tcPr>
            <w:tcW w:w="5949"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74022" w:rsidRPr="008D79E2" w:rsidRDefault="00974022" w:rsidP="008D79E2">
            <w:pPr>
              <w:pStyle w:val="MDPI42tablebody"/>
              <w:rPr>
                <w:sz w:val="16"/>
                <w:szCs w:val="16"/>
              </w:rPr>
            </w:pPr>
            <w:r w:rsidRPr="008D79E2">
              <w:rPr>
                <w:sz w:val="16"/>
                <w:szCs w:val="16"/>
              </w:rPr>
              <w:t>NCCAP document</w:t>
            </w:r>
          </w:p>
        </w:tc>
        <w:tc>
          <w:tcPr>
            <w:tcW w:w="7941" w:type="dxa"/>
            <w:gridSpan w:val="9"/>
            <w:tcBorders>
              <w:top w:val="single" w:sz="4" w:space="0" w:color="auto"/>
              <w:left w:val="nil"/>
              <w:bottom w:val="single" w:sz="4" w:space="0" w:color="auto"/>
              <w:right w:val="single" w:sz="4" w:space="0" w:color="000000"/>
            </w:tcBorders>
            <w:shd w:val="clear" w:color="auto" w:fill="auto"/>
            <w:hideMark/>
          </w:tcPr>
          <w:p w:rsidR="00974022" w:rsidRPr="008D79E2" w:rsidRDefault="00974022" w:rsidP="008D79E2">
            <w:pPr>
              <w:pStyle w:val="MDPI42tablebody"/>
              <w:rPr>
                <w:sz w:val="16"/>
                <w:szCs w:val="16"/>
              </w:rPr>
            </w:pPr>
            <w:r w:rsidRPr="008D79E2">
              <w:rPr>
                <w:sz w:val="16"/>
                <w:szCs w:val="16"/>
              </w:rPr>
              <w:t>Authors</w:t>
            </w:r>
          </w:p>
        </w:tc>
      </w:tr>
      <w:tr w:rsidR="008D79E2" w:rsidRPr="008D79E2" w:rsidTr="008D79E2">
        <w:trPr>
          <w:trHeight w:val="1260"/>
        </w:trPr>
        <w:tc>
          <w:tcPr>
            <w:tcW w:w="704" w:type="dxa"/>
            <w:tcBorders>
              <w:top w:val="nil"/>
              <w:left w:val="single" w:sz="4" w:space="0" w:color="auto"/>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Sector</w:t>
            </w:r>
          </w:p>
        </w:tc>
        <w:tc>
          <w:tcPr>
            <w:tcW w:w="1701"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Purpose</w:t>
            </w: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Action</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Measurability</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Policy for 2015</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xml:space="preserve">Change in </w:t>
            </w:r>
            <w:proofErr w:type="spellStart"/>
            <w:r w:rsidRPr="008D79E2">
              <w:rPr>
                <w:sz w:val="16"/>
                <w:szCs w:val="16"/>
              </w:rPr>
              <w:t>gdp</w:t>
            </w:r>
            <w:proofErr w:type="spellEnd"/>
            <w:r w:rsidRPr="008D79E2">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Change in hard coal use (%)</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Change in lignite use (%)</w:t>
            </w:r>
          </w:p>
        </w:tc>
      </w:tr>
      <w:tr w:rsidR="008D79E2" w:rsidRPr="008D79E2" w:rsidTr="008D79E2">
        <w:trPr>
          <w:trHeight w:val="435"/>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AGRICULTURE</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PURPOSE T1. Increase the sink capacity of the agriculture sector</w:t>
            </w: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 T1.1. Determine and increase the quantity of carbon stock captured in the soil</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r>
      <w:tr w:rsidR="008D79E2" w:rsidRPr="008D79E2" w:rsidTr="008D79E2">
        <w:trPr>
          <w:trHeight w:val="420"/>
        </w:trPr>
        <w:tc>
          <w:tcPr>
            <w:tcW w:w="704"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 T1.2. Identifying and increasing topsoil and subsoil biomass</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r>
      <w:tr w:rsidR="008D79E2" w:rsidRPr="008D79E2" w:rsidTr="008D79E2">
        <w:trPr>
          <w:trHeight w:val="420"/>
        </w:trPr>
        <w:tc>
          <w:tcPr>
            <w:tcW w:w="704"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xml:space="preserve">PURPOSE T2. Limitation of greenhouse gas emissions from agriculture sector </w:t>
            </w: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 T2.1. Identify the potential GHG emissions limitation in agriculture sector</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r>
      <w:tr w:rsidR="008D79E2" w:rsidRPr="008D79E2" w:rsidTr="008D79E2">
        <w:trPr>
          <w:trHeight w:val="630"/>
        </w:trPr>
        <w:tc>
          <w:tcPr>
            <w:tcW w:w="704"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 T2.2. Decrease the increase rate of GHG emissions originating from vegetal and animal production</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 </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r>
      <w:tr w:rsidR="008D79E2" w:rsidRPr="008D79E2" w:rsidTr="008D79E2">
        <w:trPr>
          <w:trHeight w:val="1260"/>
        </w:trPr>
        <w:tc>
          <w:tcPr>
            <w:tcW w:w="704" w:type="dxa"/>
            <w:vMerge/>
            <w:tcBorders>
              <w:top w:val="nil"/>
              <w:left w:val="single" w:sz="4" w:space="0" w:color="auto"/>
              <w:bottom w:val="single" w:sz="4" w:space="0" w:color="auto"/>
              <w:right w:val="single" w:sz="4" w:space="0" w:color="auto"/>
            </w:tcBorders>
            <w:vAlign w:val="center"/>
            <w:hideMark/>
          </w:tcPr>
          <w:p w:rsidR="00974022" w:rsidRPr="008D79E2" w:rsidRDefault="00974022" w:rsidP="008D79E2">
            <w:pPr>
              <w:pStyle w:val="MDPI42tablebody"/>
              <w:rPr>
                <w:sz w:val="16"/>
                <w:szCs w:val="16"/>
              </w:rPr>
            </w:pPr>
          </w:p>
        </w:tc>
        <w:tc>
          <w:tcPr>
            <w:tcW w:w="1701"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PURPOSE T3. Develop information infrastructure and capacity in the agriculture sector</w:t>
            </w:r>
          </w:p>
        </w:tc>
        <w:tc>
          <w:tcPr>
            <w:tcW w:w="2126"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OBJECTIVE T3.1. Build the information infrastructure that will meet the needs of the agriculture sector in adapting to and combating climate change</w:t>
            </w:r>
          </w:p>
        </w:tc>
        <w:tc>
          <w:tcPr>
            <w:tcW w:w="141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All</w:t>
            </w:r>
          </w:p>
        </w:tc>
        <w:tc>
          <w:tcPr>
            <w:tcW w:w="567"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No</w:t>
            </w:r>
          </w:p>
        </w:tc>
        <w:tc>
          <w:tcPr>
            <w:tcW w:w="226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850"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8"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09"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c>
          <w:tcPr>
            <w:tcW w:w="712" w:type="dxa"/>
            <w:tcBorders>
              <w:top w:val="nil"/>
              <w:left w:val="nil"/>
              <w:bottom w:val="single" w:sz="4" w:space="0" w:color="auto"/>
              <w:right w:val="single" w:sz="4" w:space="0" w:color="auto"/>
            </w:tcBorders>
            <w:shd w:val="clear" w:color="auto" w:fill="auto"/>
            <w:hideMark/>
          </w:tcPr>
          <w:p w:rsidR="00974022" w:rsidRPr="008D79E2" w:rsidRDefault="00974022" w:rsidP="008D79E2">
            <w:pPr>
              <w:pStyle w:val="MDPI42tablebody"/>
              <w:rPr>
                <w:sz w:val="16"/>
                <w:szCs w:val="16"/>
              </w:rPr>
            </w:pPr>
            <w:r w:rsidRPr="008D79E2">
              <w:rPr>
                <w:sz w:val="16"/>
                <w:szCs w:val="16"/>
              </w:rPr>
              <w:t>-</w:t>
            </w:r>
          </w:p>
        </w:tc>
      </w:tr>
    </w:tbl>
    <w:p w:rsidR="00974022" w:rsidRDefault="00974022">
      <w:pPr>
        <w:rPr>
          <w:rFonts w:ascii="Arial" w:hAnsi="Arial" w:cs="Arial"/>
          <w:sz w:val="24"/>
          <w:szCs w:val="24"/>
        </w:rPr>
      </w:pPr>
    </w:p>
    <w:p w:rsidR="00974022" w:rsidRDefault="00974022">
      <w:pPr>
        <w:rPr>
          <w:rFonts w:ascii="Arial" w:hAnsi="Arial" w:cs="Arial"/>
          <w:sz w:val="24"/>
          <w:szCs w:val="24"/>
        </w:rPr>
      </w:pPr>
    </w:p>
    <w:p w:rsidR="0051557C" w:rsidRDefault="0051557C">
      <w:pPr>
        <w:rPr>
          <w:rFonts w:ascii="Arial" w:hAnsi="Arial" w:cs="Arial"/>
          <w:sz w:val="24"/>
          <w:szCs w:val="24"/>
        </w:rPr>
      </w:pPr>
      <w:r>
        <w:rPr>
          <w:rFonts w:ascii="Arial" w:hAnsi="Arial" w:cs="Arial"/>
          <w:sz w:val="24"/>
          <w:szCs w:val="24"/>
        </w:rPr>
        <w:br w:type="page"/>
      </w:r>
    </w:p>
    <w:tbl>
      <w:tblPr>
        <w:tblW w:w="13879" w:type="dxa"/>
        <w:tblInd w:w="113" w:type="dxa"/>
        <w:tblLayout w:type="fixed"/>
        <w:tblLook w:val="04A0" w:firstRow="1" w:lastRow="0" w:firstColumn="1" w:lastColumn="0" w:noHBand="0" w:noVBand="1"/>
      </w:tblPr>
      <w:tblGrid>
        <w:gridCol w:w="704"/>
        <w:gridCol w:w="3260"/>
        <w:gridCol w:w="567"/>
        <w:gridCol w:w="4253"/>
        <w:gridCol w:w="709"/>
        <w:gridCol w:w="850"/>
        <w:gridCol w:w="709"/>
        <w:gridCol w:w="709"/>
        <w:gridCol w:w="708"/>
        <w:gridCol w:w="709"/>
        <w:gridCol w:w="701"/>
      </w:tblGrid>
      <w:tr w:rsidR="0051557C" w:rsidRPr="007B6891" w:rsidTr="006228FB">
        <w:trPr>
          <w:trHeight w:val="132"/>
        </w:trPr>
        <w:tc>
          <w:tcPr>
            <w:tcW w:w="13879" w:type="dxa"/>
            <w:gridSpan w:val="11"/>
            <w:tcBorders>
              <w:top w:val="single" w:sz="4" w:space="0" w:color="auto"/>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lastRenderedPageBreak/>
              <w:t>INDC simulations</w:t>
            </w:r>
          </w:p>
        </w:tc>
      </w:tr>
      <w:tr w:rsidR="0051557C" w:rsidRPr="007B6891" w:rsidTr="00FC2D14">
        <w:trPr>
          <w:trHeight w:val="186"/>
        </w:trPr>
        <w:tc>
          <w:tcPr>
            <w:tcW w:w="3964" w:type="dxa"/>
            <w:gridSpan w:val="2"/>
            <w:tcBorders>
              <w:top w:val="single" w:sz="4" w:space="0" w:color="auto"/>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INDC document</w:t>
            </w:r>
          </w:p>
        </w:tc>
        <w:tc>
          <w:tcPr>
            <w:tcW w:w="9915" w:type="dxa"/>
            <w:gridSpan w:val="9"/>
            <w:tcBorders>
              <w:top w:val="single" w:sz="4" w:space="0" w:color="auto"/>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Authors</w:t>
            </w:r>
          </w:p>
        </w:tc>
      </w:tr>
      <w:tr w:rsidR="007B6891" w:rsidRPr="007B6891" w:rsidTr="00FC2D14">
        <w:trPr>
          <w:trHeight w:val="630"/>
        </w:trPr>
        <w:tc>
          <w:tcPr>
            <w:tcW w:w="704" w:type="dxa"/>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Sector</w:t>
            </w: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Plans and policies to be implemented</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Measurability</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 xml:space="preserve">Change in </w:t>
            </w:r>
            <w:proofErr w:type="spellStart"/>
            <w:r w:rsidRPr="007B6891">
              <w:rPr>
                <w:sz w:val="16"/>
                <w:szCs w:val="16"/>
              </w:rPr>
              <w:t>gdp</w:t>
            </w:r>
            <w:proofErr w:type="spellEnd"/>
            <w:r w:rsidRPr="007B6891">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Change in hard coal use (%)</w:t>
            </w:r>
          </w:p>
        </w:tc>
        <w:tc>
          <w:tcPr>
            <w:tcW w:w="701"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Change in lignite use (%)</w:t>
            </w:r>
          </w:p>
        </w:tc>
      </w:tr>
      <w:tr w:rsidR="007B6891" w:rsidRPr="007B6891" w:rsidTr="00FC2D14">
        <w:trPr>
          <w:trHeight w:val="630"/>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ENERGY</w:t>
            </w: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Increasing capacity of production of electricity from solar power to 10 GW until 2030</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Yes</w:t>
            </w:r>
          </w:p>
        </w:tc>
        <w:tc>
          <w:tcPr>
            <w:tcW w:w="4253" w:type="dxa"/>
            <w:vMerge w:val="restart"/>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TRANSFERRING VOLUME TYPE SHOCK: A transfer shock in exogenous final demand accounts from coal electricity secto</w:t>
            </w:r>
            <w:r w:rsidR="009B4F8F" w:rsidRPr="007B6891">
              <w:rPr>
                <w:sz w:val="16"/>
                <w:szCs w:val="16"/>
              </w:rPr>
              <w:t xml:space="preserve">r </w:t>
            </w:r>
            <w:r w:rsidRPr="007B6891">
              <w:rPr>
                <w:sz w:val="16"/>
                <w:szCs w:val="16"/>
              </w:rPr>
              <w:t xml:space="preserve">to renewable electricity sector at a rate of 14.3% of total </w:t>
            </w:r>
            <w:r w:rsidR="009B4F8F" w:rsidRPr="007B6891">
              <w:rPr>
                <w:sz w:val="16"/>
                <w:szCs w:val="16"/>
              </w:rPr>
              <w:t xml:space="preserve">exogenous electricity final demand </w:t>
            </w:r>
            <w:r w:rsidRPr="007B6891">
              <w:rPr>
                <w:sz w:val="16"/>
                <w:szCs w:val="16"/>
              </w:rPr>
              <w:t xml:space="preserve">(1 685 201 thousand </w:t>
            </w:r>
            <w:proofErr w:type="spellStart"/>
            <w:r w:rsidRPr="007B6891">
              <w:rPr>
                <w:sz w:val="16"/>
                <w:szCs w:val="16"/>
              </w:rPr>
              <w:t>tl</w:t>
            </w:r>
            <w:proofErr w:type="spellEnd"/>
            <w:r w:rsidRPr="007B6891">
              <w:rPr>
                <w:sz w:val="16"/>
                <w:szCs w:val="16"/>
              </w:rPr>
              <w:t>). (Total electricity power installed in 2030 is estimated to be 149,821 MW (5.5% growth per year), and renewable electricity share is aimed to be 26,000 MW. This is a shock increasing renewable electricity share from 3.1% to 17.4% in total electricity production.)</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INDC01</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-0.72</w:t>
            </w:r>
          </w:p>
        </w:tc>
        <w:tc>
          <w:tcPr>
            <w:tcW w:w="709" w:type="dxa"/>
            <w:vMerge w:val="restart"/>
            <w:tcBorders>
              <w:top w:val="nil"/>
              <w:left w:val="single" w:sz="4" w:space="0" w:color="auto"/>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0.00</w:t>
            </w:r>
          </w:p>
        </w:tc>
        <w:tc>
          <w:tcPr>
            <w:tcW w:w="709" w:type="dxa"/>
            <w:vMerge w:val="restart"/>
            <w:tcBorders>
              <w:top w:val="nil"/>
              <w:left w:val="single" w:sz="4" w:space="0" w:color="auto"/>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0.00</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0.00</w:t>
            </w:r>
          </w:p>
        </w:tc>
        <w:tc>
          <w:tcPr>
            <w:tcW w:w="709" w:type="dxa"/>
            <w:vMerge w:val="restart"/>
            <w:tcBorders>
              <w:top w:val="nil"/>
              <w:left w:val="single" w:sz="4" w:space="0" w:color="auto"/>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-1.91</w:t>
            </w:r>
          </w:p>
        </w:tc>
        <w:tc>
          <w:tcPr>
            <w:tcW w:w="701" w:type="dxa"/>
            <w:vMerge w:val="restart"/>
            <w:tcBorders>
              <w:top w:val="nil"/>
              <w:left w:val="single" w:sz="4" w:space="0" w:color="auto"/>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-4.30</w:t>
            </w:r>
          </w:p>
        </w:tc>
      </w:tr>
      <w:tr w:rsidR="007B6891" w:rsidRPr="007B6891" w:rsidTr="00FC2D14">
        <w:trPr>
          <w:trHeight w:val="900"/>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Increasing capacity of production of electricity from wind power to 16 GW until 2030</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Yes</w:t>
            </w:r>
          </w:p>
        </w:tc>
        <w:tc>
          <w:tcPr>
            <w:tcW w:w="4253"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r>
      <w:tr w:rsidR="007B6891" w:rsidRPr="007B6891" w:rsidTr="00FC2D14">
        <w:trPr>
          <w:trHeight w:val="1834"/>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Tapping the whole hydroelectric potential</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Yes</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TRANSFERRING VOLUME TYPE SHOCK: A transfer shock in exogenous final demand accounts first from coal el</w:t>
            </w:r>
            <w:r w:rsidR="00FC04FF" w:rsidRPr="007B6891">
              <w:rPr>
                <w:sz w:val="16"/>
                <w:szCs w:val="16"/>
              </w:rPr>
              <w:t>ectricity, then petroleum elect</w:t>
            </w:r>
            <w:r w:rsidRPr="007B6891">
              <w:rPr>
                <w:sz w:val="16"/>
                <w:szCs w:val="16"/>
              </w:rPr>
              <w:t>ric</w:t>
            </w:r>
            <w:r w:rsidR="00FC04FF" w:rsidRPr="007B6891">
              <w:rPr>
                <w:sz w:val="16"/>
                <w:szCs w:val="16"/>
              </w:rPr>
              <w:t>i</w:t>
            </w:r>
            <w:r w:rsidRPr="007B6891">
              <w:rPr>
                <w:sz w:val="16"/>
                <w:szCs w:val="16"/>
              </w:rPr>
              <w:t>ty, then natural gas electricity sectors</w:t>
            </w:r>
            <w:r w:rsidR="009B4F8F" w:rsidRPr="007B6891">
              <w:rPr>
                <w:sz w:val="16"/>
                <w:szCs w:val="16"/>
              </w:rPr>
              <w:t xml:space="preserve"> </w:t>
            </w:r>
            <w:r w:rsidRPr="007B6891">
              <w:rPr>
                <w:sz w:val="16"/>
                <w:szCs w:val="16"/>
              </w:rPr>
              <w:t xml:space="preserve">to hydro electricity sector at a rate of 32.4% of total exogenous </w:t>
            </w:r>
            <w:r w:rsidR="009B4F8F" w:rsidRPr="007B6891">
              <w:rPr>
                <w:sz w:val="16"/>
                <w:szCs w:val="16"/>
              </w:rPr>
              <w:t xml:space="preserve">electricity </w:t>
            </w:r>
            <w:r w:rsidRPr="007B6891">
              <w:rPr>
                <w:sz w:val="16"/>
                <w:szCs w:val="16"/>
              </w:rPr>
              <w:t xml:space="preserve">final demand. (3 819 585 thousand </w:t>
            </w:r>
            <w:proofErr w:type="spellStart"/>
            <w:r w:rsidRPr="007B6891">
              <w:rPr>
                <w:sz w:val="16"/>
                <w:szCs w:val="16"/>
              </w:rPr>
              <w:t>tl</w:t>
            </w:r>
            <w:proofErr w:type="spellEnd"/>
            <w:r w:rsidRPr="007B6891">
              <w:rPr>
                <w:sz w:val="16"/>
                <w:szCs w:val="16"/>
              </w:rPr>
              <w:t>). (Total electricity production in 2030 is estimated to be 628.9 billion kWh (5.5% growth per year), and technical and economic hydroelectric energy potential is 356 billion kWh. This is a shock increasing</w:t>
            </w:r>
            <w:r w:rsidR="009B4F8F" w:rsidRPr="007B6891">
              <w:rPr>
                <w:sz w:val="16"/>
                <w:szCs w:val="16"/>
              </w:rPr>
              <w:t xml:space="preserve"> </w:t>
            </w:r>
            <w:proofErr w:type="spellStart"/>
            <w:r w:rsidRPr="007B6891">
              <w:rPr>
                <w:sz w:val="16"/>
                <w:szCs w:val="16"/>
              </w:rPr>
              <w:t>hydro</w:t>
            </w:r>
            <w:r w:rsidR="009B4F8F" w:rsidRPr="007B6891">
              <w:rPr>
                <w:sz w:val="16"/>
                <w:szCs w:val="16"/>
              </w:rPr>
              <w:t xml:space="preserve"> </w:t>
            </w:r>
            <w:r w:rsidRPr="007B6891">
              <w:rPr>
                <w:sz w:val="16"/>
                <w:szCs w:val="16"/>
              </w:rPr>
              <w:t>electricity</w:t>
            </w:r>
            <w:proofErr w:type="spellEnd"/>
            <w:r w:rsidR="009B4F8F" w:rsidRPr="007B6891">
              <w:rPr>
                <w:sz w:val="16"/>
                <w:szCs w:val="16"/>
              </w:rPr>
              <w:t xml:space="preserve"> </w:t>
            </w:r>
            <w:r w:rsidRPr="007B6891">
              <w:rPr>
                <w:sz w:val="16"/>
                <w:szCs w:val="16"/>
              </w:rPr>
              <w:t>share from 24.2% to</w:t>
            </w:r>
            <w:r w:rsidR="009B4F8F" w:rsidRPr="007B6891">
              <w:rPr>
                <w:sz w:val="16"/>
                <w:szCs w:val="16"/>
              </w:rPr>
              <w:t xml:space="preserve"> </w:t>
            </w:r>
            <w:r w:rsidRPr="007B6891">
              <w:rPr>
                <w:sz w:val="16"/>
                <w:szCs w:val="16"/>
              </w:rPr>
              <w:t>56.6% in total electricity production.)</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INDC02</w:t>
            </w:r>
          </w:p>
        </w:tc>
        <w:tc>
          <w:tcPr>
            <w:tcW w:w="850"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-1.54</w:t>
            </w:r>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0.00</w:t>
            </w:r>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0.00</w:t>
            </w:r>
          </w:p>
        </w:tc>
        <w:tc>
          <w:tcPr>
            <w:tcW w:w="708"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0.00</w:t>
            </w:r>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-3.79</w:t>
            </w:r>
          </w:p>
        </w:tc>
        <w:tc>
          <w:tcPr>
            <w:tcW w:w="701"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-8.55</w:t>
            </w:r>
          </w:p>
        </w:tc>
      </w:tr>
      <w:tr w:rsidR="007B6891" w:rsidRPr="007B6891"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Commissioning of a nuclear power plant until 2030</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1"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r>
      <w:tr w:rsidR="007B6891" w:rsidRPr="007B6891" w:rsidTr="00FC2D14">
        <w:trPr>
          <w:trHeight w:val="463"/>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FC04FF" w:rsidP="007B6891">
            <w:pPr>
              <w:pStyle w:val="MDPI42tablebody"/>
              <w:rPr>
                <w:sz w:val="16"/>
                <w:szCs w:val="16"/>
              </w:rPr>
            </w:pPr>
            <w:r w:rsidRPr="007B6891">
              <w:rPr>
                <w:sz w:val="16"/>
                <w:szCs w:val="16"/>
              </w:rPr>
              <w:t>Reducing electricity transmi</w:t>
            </w:r>
            <w:r w:rsidR="0051557C" w:rsidRPr="007B6891">
              <w:rPr>
                <w:sz w:val="16"/>
                <w:szCs w:val="16"/>
              </w:rPr>
              <w:t>ssion and distribution losses to 15 percent at 2030</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Yes</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INCREASING EFFICIENCY TYPE SHOCK: A decrease shock in all electricity sectors at a rate of 15%.</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INDC03</w:t>
            </w:r>
          </w:p>
        </w:tc>
        <w:tc>
          <w:tcPr>
            <w:tcW w:w="850"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-0.94</w:t>
            </w:r>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proofErr w:type="spellStart"/>
            <w:r w:rsidRPr="007B6891">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proofErr w:type="spellStart"/>
            <w:r w:rsidRPr="007B6891">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proofErr w:type="spellStart"/>
            <w:r w:rsidRPr="007B6891">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-1.25</w:t>
            </w:r>
          </w:p>
        </w:tc>
        <w:tc>
          <w:tcPr>
            <w:tcW w:w="701" w:type="dxa"/>
            <w:tcBorders>
              <w:top w:val="nil"/>
              <w:left w:val="nil"/>
              <w:bottom w:val="single" w:sz="4" w:space="0" w:color="auto"/>
              <w:right w:val="single" w:sz="4" w:space="0" w:color="auto"/>
            </w:tcBorders>
            <w:shd w:val="clear" w:color="auto" w:fill="auto"/>
            <w:noWrap/>
            <w:hideMark/>
          </w:tcPr>
          <w:p w:rsidR="0051557C" w:rsidRPr="007B6891" w:rsidRDefault="0051557C" w:rsidP="007B6891">
            <w:pPr>
              <w:pStyle w:val="MDPI42tablebody"/>
              <w:rPr>
                <w:sz w:val="16"/>
                <w:szCs w:val="16"/>
              </w:rPr>
            </w:pPr>
            <w:r w:rsidRPr="007B6891">
              <w:rPr>
                <w:sz w:val="16"/>
                <w:szCs w:val="16"/>
              </w:rPr>
              <w:t>-2.68</w:t>
            </w:r>
          </w:p>
        </w:tc>
      </w:tr>
      <w:tr w:rsidR="007B6891" w:rsidRPr="007B6891"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Rehabilitation of public electricity generation power plants</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1"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r>
      <w:tr w:rsidR="007B6891" w:rsidRPr="007B6891" w:rsidTr="00FC2D14">
        <w:trPr>
          <w:trHeight w:val="630"/>
        </w:trPr>
        <w:tc>
          <w:tcPr>
            <w:tcW w:w="704" w:type="dxa"/>
            <w:vMerge/>
            <w:tcBorders>
              <w:top w:val="nil"/>
              <w:left w:val="single" w:sz="4" w:space="0" w:color="auto"/>
              <w:bottom w:val="single" w:sz="4" w:space="0" w:color="auto"/>
              <w:right w:val="single" w:sz="4" w:space="0" w:color="auto"/>
            </w:tcBorders>
            <w:vAlign w:val="center"/>
            <w:hideMark/>
          </w:tcPr>
          <w:p w:rsidR="0051557C" w:rsidRPr="007B6891" w:rsidRDefault="0051557C" w:rsidP="007B6891">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Establishment of micro-generation, co-generation systems and production on site at electricity production</w:t>
            </w:r>
          </w:p>
        </w:tc>
        <w:tc>
          <w:tcPr>
            <w:tcW w:w="567"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c>
          <w:tcPr>
            <w:tcW w:w="701" w:type="dxa"/>
            <w:tcBorders>
              <w:top w:val="nil"/>
              <w:left w:val="nil"/>
              <w:bottom w:val="single" w:sz="4" w:space="0" w:color="auto"/>
              <w:right w:val="single" w:sz="4" w:space="0" w:color="auto"/>
            </w:tcBorders>
            <w:shd w:val="clear" w:color="auto" w:fill="auto"/>
            <w:hideMark/>
          </w:tcPr>
          <w:p w:rsidR="0051557C" w:rsidRPr="007B6891" w:rsidRDefault="0051557C" w:rsidP="007B6891">
            <w:pPr>
              <w:pStyle w:val="MDPI42tablebody"/>
              <w:rPr>
                <w:sz w:val="16"/>
                <w:szCs w:val="16"/>
              </w:rPr>
            </w:pPr>
            <w:r w:rsidRPr="007B6891">
              <w:rPr>
                <w:sz w:val="16"/>
                <w:szCs w:val="16"/>
              </w:rPr>
              <w:t>-</w:t>
            </w:r>
          </w:p>
        </w:tc>
      </w:tr>
    </w:tbl>
    <w:p w:rsidR="006228FB" w:rsidRDefault="006228FB">
      <w:r>
        <w:br w:type="page"/>
      </w:r>
    </w:p>
    <w:tbl>
      <w:tblPr>
        <w:tblW w:w="13887" w:type="dxa"/>
        <w:tblInd w:w="113" w:type="dxa"/>
        <w:tblLayout w:type="fixed"/>
        <w:tblLook w:val="04A0" w:firstRow="1" w:lastRow="0" w:firstColumn="1" w:lastColumn="0" w:noHBand="0" w:noVBand="1"/>
      </w:tblPr>
      <w:tblGrid>
        <w:gridCol w:w="704"/>
        <w:gridCol w:w="3260"/>
        <w:gridCol w:w="567"/>
        <w:gridCol w:w="4253"/>
        <w:gridCol w:w="709"/>
        <w:gridCol w:w="850"/>
        <w:gridCol w:w="709"/>
        <w:gridCol w:w="709"/>
        <w:gridCol w:w="708"/>
        <w:gridCol w:w="709"/>
        <w:gridCol w:w="709"/>
      </w:tblGrid>
      <w:tr w:rsidR="006228FB" w:rsidRPr="00FC2D14" w:rsidTr="00FC2D14">
        <w:trPr>
          <w:trHeight w:val="268"/>
        </w:trPr>
        <w:tc>
          <w:tcPr>
            <w:tcW w:w="13887" w:type="dxa"/>
            <w:gridSpan w:val="11"/>
            <w:tcBorders>
              <w:top w:val="single" w:sz="4" w:space="0" w:color="auto"/>
              <w:left w:val="single" w:sz="4" w:space="0" w:color="auto"/>
              <w:bottom w:val="single" w:sz="4" w:space="0" w:color="auto"/>
              <w:right w:val="single" w:sz="4" w:space="0" w:color="auto"/>
            </w:tcBorders>
            <w:shd w:val="clear" w:color="auto" w:fill="auto"/>
          </w:tcPr>
          <w:p w:rsidR="006228FB" w:rsidRPr="00FC2D14" w:rsidRDefault="006228FB" w:rsidP="00FC2D14">
            <w:pPr>
              <w:pStyle w:val="MDPI42tablebody"/>
              <w:rPr>
                <w:sz w:val="16"/>
                <w:szCs w:val="16"/>
              </w:rPr>
            </w:pPr>
            <w:r w:rsidRPr="00FC2D14">
              <w:rPr>
                <w:sz w:val="16"/>
                <w:szCs w:val="16"/>
              </w:rPr>
              <w:lastRenderedPageBreak/>
              <w:t>INDC simulations (continues)</w:t>
            </w:r>
          </w:p>
        </w:tc>
      </w:tr>
      <w:tr w:rsidR="006228FB" w:rsidRPr="00FC2D14" w:rsidTr="00FC2D14">
        <w:trPr>
          <w:trHeight w:val="272"/>
        </w:trPr>
        <w:tc>
          <w:tcPr>
            <w:tcW w:w="3964" w:type="dxa"/>
            <w:gridSpan w:val="2"/>
            <w:tcBorders>
              <w:top w:val="nil"/>
              <w:left w:val="single" w:sz="4" w:space="0" w:color="auto"/>
              <w:bottom w:val="single" w:sz="4" w:space="0" w:color="auto"/>
              <w:right w:val="single" w:sz="4" w:space="0" w:color="auto"/>
            </w:tcBorders>
            <w:shd w:val="clear" w:color="auto" w:fill="auto"/>
          </w:tcPr>
          <w:p w:rsidR="006228FB" w:rsidRPr="00FC2D14" w:rsidRDefault="006228FB" w:rsidP="00FC2D14">
            <w:pPr>
              <w:pStyle w:val="MDPI42tablebody"/>
              <w:rPr>
                <w:sz w:val="16"/>
                <w:szCs w:val="16"/>
              </w:rPr>
            </w:pPr>
            <w:r w:rsidRPr="00FC2D14">
              <w:rPr>
                <w:sz w:val="16"/>
                <w:szCs w:val="16"/>
              </w:rPr>
              <w:t>INDC document</w:t>
            </w:r>
          </w:p>
        </w:tc>
        <w:tc>
          <w:tcPr>
            <w:tcW w:w="9923" w:type="dxa"/>
            <w:gridSpan w:val="9"/>
            <w:tcBorders>
              <w:top w:val="nil"/>
              <w:left w:val="single" w:sz="4" w:space="0" w:color="auto"/>
              <w:bottom w:val="single" w:sz="4" w:space="0" w:color="auto"/>
              <w:right w:val="single" w:sz="4" w:space="0" w:color="auto"/>
            </w:tcBorders>
            <w:shd w:val="clear" w:color="auto" w:fill="auto"/>
          </w:tcPr>
          <w:p w:rsidR="006228FB" w:rsidRPr="00FC2D14" w:rsidRDefault="006228FB" w:rsidP="00FC2D14">
            <w:pPr>
              <w:pStyle w:val="MDPI42tablebody"/>
              <w:rPr>
                <w:sz w:val="16"/>
                <w:szCs w:val="16"/>
              </w:rPr>
            </w:pPr>
            <w:r w:rsidRPr="00FC2D14">
              <w:rPr>
                <w:sz w:val="16"/>
                <w:szCs w:val="16"/>
              </w:rPr>
              <w:t>Authors</w:t>
            </w:r>
          </w:p>
        </w:tc>
      </w:tr>
      <w:tr w:rsidR="00FC2D14" w:rsidRPr="00FC2D14" w:rsidTr="00FC2D14">
        <w:trPr>
          <w:trHeight w:val="630"/>
        </w:trPr>
        <w:tc>
          <w:tcPr>
            <w:tcW w:w="704" w:type="dxa"/>
            <w:tcBorders>
              <w:top w:val="nil"/>
              <w:left w:val="single" w:sz="4" w:space="0" w:color="auto"/>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Sector</w:t>
            </w: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Plans and policies to be implemented</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Measurability</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 xml:space="preserve">Change in </w:t>
            </w:r>
            <w:proofErr w:type="spellStart"/>
            <w:r w:rsidRPr="00FC2D14">
              <w:rPr>
                <w:sz w:val="16"/>
                <w:szCs w:val="16"/>
              </w:rPr>
              <w:t>gdp</w:t>
            </w:r>
            <w:proofErr w:type="spellEnd"/>
            <w:r w:rsidRPr="00FC2D14">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Change in hard coal use (%)</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Change in lignite use (%)</w:t>
            </w:r>
          </w:p>
        </w:tc>
      </w:tr>
      <w:tr w:rsidR="00FC2D14" w:rsidRPr="00FC2D14" w:rsidTr="00FC2D14">
        <w:trPr>
          <w:trHeight w:val="662"/>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INDUSTRY</w:t>
            </w: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Reducing emission intensity with the implementation of National Strategy and Action Plan on Energy Efficiency</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(There is not any policy related to emission intensity in the National Action Plan on Energy Efficiency document published in 2016, after INDC submission)</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63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Increasing energy efficiency in industrial installations and providing financial support to energy efficiency projects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Making studies to increase use of waste as an alternative fuel at the appropriate sectors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1050"/>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TRANSPORTATION</w:t>
            </w: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Ensuring balanced utilization of transport modes in freight and passenger transport by reducing the share of road transport and increasing the share of maritime and rail transport</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Enhancing combined transport</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Implementing sustainable transport approaches in urban areas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Promoting alternative fuels and clean vehicles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105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 xml:space="preserve">Reducing fuel consumption and emissions of road transport with National Intelligent Transport Systems Strategy Document (2014 - 2023) and its Action Plan (2014 - 2016) </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(There are two policies in the National Intelligent Transport Systems Strategy Document (2014 - 2023) and its Action Plan (2014 - 2016), but they are not measurable at all.)</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Realizing high speed railway projects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Increasing urban railway systems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Achieving fuel savings by tunnel projects</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Scraping of old vehicles from traffic</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Implementing green port and green airport projects to ensure energy efficiency</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FC2D14" w:rsidRDefault="0051557C" w:rsidP="00FC2D14">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Implementing special consumption tax exemptions for maritime transport</w:t>
            </w:r>
          </w:p>
        </w:tc>
        <w:tc>
          <w:tcPr>
            <w:tcW w:w="567"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FC2D14" w:rsidRDefault="0051557C" w:rsidP="00FC2D14">
            <w:pPr>
              <w:pStyle w:val="MDPI42tablebody"/>
              <w:rPr>
                <w:sz w:val="16"/>
                <w:szCs w:val="16"/>
              </w:rPr>
            </w:pPr>
            <w:r w:rsidRPr="00FC2D14">
              <w:rPr>
                <w:sz w:val="16"/>
                <w:szCs w:val="16"/>
              </w:rPr>
              <w:t>-</w:t>
            </w:r>
          </w:p>
        </w:tc>
      </w:tr>
      <w:tr w:rsidR="00FC2D14" w:rsidRPr="00FC2D14" w:rsidTr="00FC2D14">
        <w:trPr>
          <w:trHeight w:val="268"/>
        </w:trPr>
        <w:tc>
          <w:tcPr>
            <w:tcW w:w="13887" w:type="dxa"/>
            <w:gridSpan w:val="11"/>
            <w:tcBorders>
              <w:top w:val="single" w:sz="4" w:space="0" w:color="auto"/>
              <w:left w:val="single" w:sz="4" w:space="0" w:color="auto"/>
              <w:bottom w:val="single" w:sz="4" w:space="0" w:color="auto"/>
              <w:right w:val="single" w:sz="4" w:space="0" w:color="auto"/>
            </w:tcBorders>
            <w:shd w:val="clear" w:color="auto" w:fill="auto"/>
          </w:tcPr>
          <w:p w:rsidR="00FC2D14" w:rsidRPr="00383EE6" w:rsidRDefault="00FC2D14" w:rsidP="00383EE6">
            <w:pPr>
              <w:pStyle w:val="MDPI42tablebody"/>
              <w:rPr>
                <w:sz w:val="16"/>
                <w:szCs w:val="16"/>
              </w:rPr>
            </w:pPr>
            <w:r w:rsidRPr="00383EE6">
              <w:rPr>
                <w:sz w:val="16"/>
                <w:szCs w:val="16"/>
              </w:rPr>
              <w:lastRenderedPageBreak/>
              <w:t>INDC simulations (continues)</w:t>
            </w:r>
          </w:p>
        </w:tc>
      </w:tr>
      <w:tr w:rsidR="00FC2D14" w:rsidRPr="00FC2D14" w:rsidTr="00FC2D14">
        <w:trPr>
          <w:trHeight w:val="272"/>
        </w:trPr>
        <w:tc>
          <w:tcPr>
            <w:tcW w:w="3964" w:type="dxa"/>
            <w:gridSpan w:val="2"/>
            <w:tcBorders>
              <w:top w:val="nil"/>
              <w:left w:val="single" w:sz="4" w:space="0" w:color="auto"/>
              <w:bottom w:val="single" w:sz="4" w:space="0" w:color="auto"/>
              <w:right w:val="single" w:sz="4" w:space="0" w:color="auto"/>
            </w:tcBorders>
            <w:shd w:val="clear" w:color="auto" w:fill="auto"/>
          </w:tcPr>
          <w:p w:rsidR="00FC2D14" w:rsidRPr="00383EE6" w:rsidRDefault="00FC2D14" w:rsidP="00383EE6">
            <w:pPr>
              <w:pStyle w:val="MDPI42tablebody"/>
              <w:rPr>
                <w:sz w:val="16"/>
                <w:szCs w:val="16"/>
              </w:rPr>
            </w:pPr>
            <w:r w:rsidRPr="00383EE6">
              <w:rPr>
                <w:sz w:val="16"/>
                <w:szCs w:val="16"/>
              </w:rPr>
              <w:t>INDC document</w:t>
            </w:r>
          </w:p>
        </w:tc>
        <w:tc>
          <w:tcPr>
            <w:tcW w:w="9923" w:type="dxa"/>
            <w:gridSpan w:val="9"/>
            <w:tcBorders>
              <w:top w:val="nil"/>
              <w:left w:val="nil"/>
              <w:bottom w:val="single" w:sz="4" w:space="0" w:color="auto"/>
              <w:right w:val="single" w:sz="4" w:space="0" w:color="auto"/>
            </w:tcBorders>
            <w:shd w:val="clear" w:color="auto" w:fill="auto"/>
          </w:tcPr>
          <w:p w:rsidR="00FC2D14" w:rsidRPr="00383EE6" w:rsidRDefault="00FC2D14" w:rsidP="00383EE6">
            <w:pPr>
              <w:pStyle w:val="MDPI42tablebody"/>
              <w:rPr>
                <w:sz w:val="16"/>
                <w:szCs w:val="16"/>
              </w:rPr>
            </w:pPr>
            <w:r w:rsidRPr="00383EE6">
              <w:rPr>
                <w:sz w:val="16"/>
                <w:szCs w:val="16"/>
              </w:rPr>
              <w:t>Authors</w:t>
            </w:r>
          </w:p>
        </w:tc>
      </w:tr>
      <w:tr w:rsidR="00FC2D14" w:rsidRPr="00FC2D14" w:rsidTr="00FC2D14">
        <w:trPr>
          <w:trHeight w:val="630"/>
        </w:trPr>
        <w:tc>
          <w:tcPr>
            <w:tcW w:w="704" w:type="dxa"/>
            <w:tcBorders>
              <w:top w:val="nil"/>
              <w:left w:val="single" w:sz="4" w:space="0" w:color="auto"/>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Sector</w:t>
            </w: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Plans and policies to be implemented</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Measurability</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 xml:space="preserve">Change in </w:t>
            </w:r>
            <w:proofErr w:type="spellStart"/>
            <w:r w:rsidRPr="00383EE6">
              <w:rPr>
                <w:sz w:val="16"/>
                <w:szCs w:val="16"/>
              </w:rPr>
              <w:t>gdp</w:t>
            </w:r>
            <w:proofErr w:type="spellEnd"/>
            <w:r w:rsidRPr="00383EE6">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Change in hard coal use (%)</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Change in lignite use (%)</w:t>
            </w:r>
          </w:p>
        </w:tc>
      </w:tr>
      <w:tr w:rsidR="00FC2D14" w:rsidRPr="00FC2D14" w:rsidTr="00FC2D14">
        <w:trPr>
          <w:trHeight w:val="420"/>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WASTE</w:t>
            </w: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Sending solid wastes to managed landfill sites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63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Reuse, recycle and use of other processes to recover secondary raw materials, to utilize as energy source or to remove wastes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105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Recovering energy from waste by using processes such as material recycling of wastes, bio-drying, bio-</w:t>
            </w:r>
            <w:proofErr w:type="spellStart"/>
            <w:r w:rsidRPr="00383EE6">
              <w:rPr>
                <w:sz w:val="16"/>
                <w:szCs w:val="16"/>
              </w:rPr>
              <w:t>methanization</w:t>
            </w:r>
            <w:proofErr w:type="spellEnd"/>
            <w:r w:rsidRPr="00383EE6">
              <w:rPr>
                <w:sz w:val="16"/>
                <w:szCs w:val="16"/>
              </w:rPr>
              <w:t>, composting, advanced thermal processes or incineration</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Recovery of methane gas from landfill gas from managed and unmanaged landfill sites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84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Utilization of industrial wastes as an alternative raw material or alternative fuel in other industrial sectors, through industrial symbiosis approach</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63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Conducting relevant studies to utilize wastes generated from breeding farms and poultry farms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63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Rehabilitation of unmanaged waste sites and ensuring wastes to be deposited at managed lan</w:t>
            </w:r>
            <w:r w:rsidR="006D3C67" w:rsidRPr="00383EE6">
              <w:rPr>
                <w:sz w:val="16"/>
                <w:szCs w:val="16"/>
              </w:rPr>
              <w:t>d</w:t>
            </w:r>
            <w:r w:rsidRPr="00383EE6">
              <w:rPr>
                <w:sz w:val="16"/>
                <w:szCs w:val="16"/>
              </w:rPr>
              <w:t>fill sites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420"/>
        </w:trPr>
        <w:tc>
          <w:tcPr>
            <w:tcW w:w="704" w:type="dxa"/>
            <w:vMerge w:val="restart"/>
            <w:tcBorders>
              <w:top w:val="nil"/>
              <w:left w:val="single" w:sz="4" w:space="0" w:color="auto"/>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AGRICULTURE</w:t>
            </w: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Fuel savings by land consolidation in agricultural areas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Rehabilitation of grazing lands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42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Controlling the use of fertilizers and implementing modern agricultural practices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r w:rsidR="00FC2D14" w:rsidRPr="00FC2D14" w:rsidTr="00FC2D14">
        <w:trPr>
          <w:trHeight w:val="300"/>
        </w:trPr>
        <w:tc>
          <w:tcPr>
            <w:tcW w:w="704" w:type="dxa"/>
            <w:vMerge/>
            <w:tcBorders>
              <w:top w:val="nil"/>
              <w:left w:val="single" w:sz="4" w:space="0" w:color="auto"/>
              <w:bottom w:val="single" w:sz="4" w:space="0" w:color="auto"/>
              <w:right w:val="single" w:sz="4" w:space="0" w:color="auto"/>
            </w:tcBorders>
            <w:vAlign w:val="center"/>
            <w:hideMark/>
          </w:tcPr>
          <w:p w:rsidR="0051557C" w:rsidRPr="00383EE6" w:rsidRDefault="0051557C" w:rsidP="00383EE6">
            <w:pPr>
              <w:pStyle w:val="MDPI42tablebody"/>
              <w:rPr>
                <w:sz w:val="16"/>
                <w:szCs w:val="16"/>
              </w:rPr>
            </w:pPr>
          </w:p>
        </w:tc>
        <w:tc>
          <w:tcPr>
            <w:tcW w:w="326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Supporting the minimum tillage methods</w:t>
            </w:r>
          </w:p>
        </w:tc>
        <w:tc>
          <w:tcPr>
            <w:tcW w:w="567"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No</w:t>
            </w:r>
          </w:p>
        </w:tc>
        <w:tc>
          <w:tcPr>
            <w:tcW w:w="4253"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850"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8"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c>
          <w:tcPr>
            <w:tcW w:w="709" w:type="dxa"/>
            <w:tcBorders>
              <w:top w:val="nil"/>
              <w:left w:val="nil"/>
              <w:bottom w:val="single" w:sz="4" w:space="0" w:color="auto"/>
              <w:right w:val="single" w:sz="4" w:space="0" w:color="auto"/>
            </w:tcBorders>
            <w:shd w:val="clear" w:color="auto" w:fill="auto"/>
            <w:hideMark/>
          </w:tcPr>
          <w:p w:rsidR="0051557C" w:rsidRPr="00383EE6" w:rsidRDefault="0051557C" w:rsidP="00383EE6">
            <w:pPr>
              <w:pStyle w:val="MDPI42tablebody"/>
              <w:rPr>
                <w:sz w:val="16"/>
                <w:szCs w:val="16"/>
              </w:rPr>
            </w:pPr>
            <w:r w:rsidRPr="00383EE6">
              <w:rPr>
                <w:sz w:val="16"/>
                <w:szCs w:val="16"/>
              </w:rPr>
              <w:t>-</w:t>
            </w:r>
          </w:p>
        </w:tc>
      </w:tr>
    </w:tbl>
    <w:p w:rsidR="0051557C" w:rsidRDefault="0051557C">
      <w:pPr>
        <w:rPr>
          <w:rFonts w:ascii="Arial" w:hAnsi="Arial" w:cs="Arial"/>
          <w:sz w:val="24"/>
          <w:szCs w:val="24"/>
        </w:rPr>
      </w:pPr>
    </w:p>
    <w:tbl>
      <w:tblPr>
        <w:tblW w:w="0" w:type="auto"/>
        <w:tblInd w:w="113" w:type="dxa"/>
        <w:tblLayout w:type="fixed"/>
        <w:tblLook w:val="04A0" w:firstRow="1" w:lastRow="0" w:firstColumn="1" w:lastColumn="0" w:noHBand="0" w:noVBand="1"/>
      </w:tblPr>
      <w:tblGrid>
        <w:gridCol w:w="704"/>
        <w:gridCol w:w="1843"/>
        <w:gridCol w:w="3544"/>
        <w:gridCol w:w="2693"/>
        <w:gridCol w:w="709"/>
        <w:gridCol w:w="850"/>
        <w:gridCol w:w="709"/>
        <w:gridCol w:w="709"/>
        <w:gridCol w:w="708"/>
        <w:gridCol w:w="709"/>
        <w:gridCol w:w="701"/>
      </w:tblGrid>
      <w:tr w:rsidR="00BB1F00" w:rsidRPr="00383EE6" w:rsidTr="00383EE6">
        <w:trPr>
          <w:trHeight w:val="315"/>
        </w:trPr>
        <w:tc>
          <w:tcPr>
            <w:tcW w:w="13879" w:type="dxa"/>
            <w:gridSpan w:val="11"/>
            <w:tcBorders>
              <w:top w:val="single" w:sz="4" w:space="0" w:color="auto"/>
              <w:left w:val="single" w:sz="4" w:space="0" w:color="auto"/>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lastRenderedPageBreak/>
              <w:t>Emission decreasing simulations</w:t>
            </w:r>
          </w:p>
        </w:tc>
      </w:tr>
      <w:tr w:rsidR="00383EE6" w:rsidRPr="00383EE6" w:rsidTr="00383EE6">
        <w:trPr>
          <w:trHeight w:val="630"/>
        </w:trPr>
        <w:tc>
          <w:tcPr>
            <w:tcW w:w="704" w:type="dxa"/>
            <w:tcBorders>
              <w:top w:val="nil"/>
              <w:left w:val="single" w:sz="4" w:space="0" w:color="auto"/>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Sector</w:t>
            </w:r>
          </w:p>
        </w:tc>
        <w:tc>
          <w:tcPr>
            <w:tcW w:w="184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 xml:space="preserve">Change in </w:t>
            </w:r>
            <w:proofErr w:type="spellStart"/>
            <w:r w:rsidRPr="00383EE6">
              <w:rPr>
                <w:sz w:val="16"/>
                <w:szCs w:val="16"/>
              </w:rPr>
              <w:t>gdp</w:t>
            </w:r>
            <w:proofErr w:type="spellEnd"/>
            <w:r w:rsidRPr="00383EE6">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Change in hard coal use (%)</w:t>
            </w:r>
          </w:p>
        </w:tc>
        <w:tc>
          <w:tcPr>
            <w:tcW w:w="701"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Change in lignite use (%)</w:t>
            </w:r>
          </w:p>
        </w:tc>
      </w:tr>
      <w:tr w:rsidR="00383EE6" w:rsidRPr="00383EE6" w:rsidTr="00383EE6">
        <w:trPr>
          <w:trHeight w:val="1765"/>
        </w:trPr>
        <w:tc>
          <w:tcPr>
            <w:tcW w:w="704" w:type="dxa"/>
            <w:vMerge w:val="restart"/>
            <w:tcBorders>
              <w:top w:val="nil"/>
              <w:left w:val="single" w:sz="4" w:space="0" w:color="auto"/>
              <w:bottom w:val="single" w:sz="4" w:space="0" w:color="000000"/>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ENERGY</w:t>
            </w:r>
          </w:p>
        </w:tc>
        <w:tc>
          <w:tcPr>
            <w:tcW w:w="184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 xml:space="preserve">Reduce primary energy intensity </w:t>
            </w:r>
          </w:p>
        </w:tc>
        <w:tc>
          <w:tcPr>
            <w:tcW w:w="3544"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 xml:space="preserve">Raising efficiency in primary energy use can decrease primary energy demand. </w:t>
            </w:r>
          </w:p>
        </w:tc>
        <w:tc>
          <w:tcPr>
            <w:tcW w:w="269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 xml:space="preserve">INCREASING EFFICIENCY TYPE SHOCK: A 10% decrease shock in exogenous final demand accounts in primary energy sectors (coal mining, </w:t>
            </w:r>
            <w:proofErr w:type="spellStart"/>
            <w:proofErr w:type="gramStart"/>
            <w:r w:rsidRPr="00383EE6">
              <w:rPr>
                <w:sz w:val="16"/>
                <w:szCs w:val="16"/>
              </w:rPr>
              <w:t>petroleum,nat</w:t>
            </w:r>
            <w:r w:rsidR="000F2BB4" w:rsidRPr="00383EE6">
              <w:rPr>
                <w:sz w:val="16"/>
                <w:szCs w:val="16"/>
              </w:rPr>
              <w:t>ural</w:t>
            </w:r>
            <w:proofErr w:type="spellEnd"/>
            <w:proofErr w:type="gramEnd"/>
            <w:r w:rsidR="000F2BB4" w:rsidRPr="00383EE6">
              <w:rPr>
                <w:sz w:val="16"/>
                <w:szCs w:val="16"/>
              </w:rPr>
              <w:t xml:space="preserve"> </w:t>
            </w:r>
            <w:r w:rsidRPr="00383EE6">
              <w:rPr>
                <w:sz w:val="16"/>
                <w:szCs w:val="16"/>
              </w:rPr>
              <w:t xml:space="preserve">gas extraction, </w:t>
            </w:r>
            <w:proofErr w:type="spellStart"/>
            <w:r w:rsidRPr="00383EE6">
              <w:rPr>
                <w:sz w:val="16"/>
                <w:szCs w:val="16"/>
              </w:rPr>
              <w:t>coke,refined</w:t>
            </w:r>
            <w:proofErr w:type="spellEnd"/>
            <w:r w:rsidRPr="00383EE6">
              <w:rPr>
                <w:sz w:val="16"/>
                <w:szCs w:val="16"/>
              </w:rPr>
              <w:t xml:space="preserve"> petroleum).</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EMIS01</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-0.09</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-0.05</w:t>
            </w:r>
          </w:p>
        </w:tc>
        <w:tc>
          <w:tcPr>
            <w:tcW w:w="701"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-0.06</w:t>
            </w:r>
          </w:p>
        </w:tc>
      </w:tr>
      <w:tr w:rsidR="00383EE6" w:rsidRPr="00383EE6" w:rsidTr="00383EE6">
        <w:trPr>
          <w:trHeight w:val="1470"/>
        </w:trPr>
        <w:tc>
          <w:tcPr>
            <w:tcW w:w="704" w:type="dxa"/>
            <w:vMerge/>
            <w:tcBorders>
              <w:top w:val="nil"/>
              <w:left w:val="single" w:sz="4" w:space="0" w:color="auto"/>
              <w:bottom w:val="single" w:sz="4" w:space="0" w:color="000000"/>
              <w:right w:val="single" w:sz="4" w:space="0" w:color="auto"/>
            </w:tcBorders>
            <w:vAlign w:val="center"/>
            <w:hideMark/>
          </w:tcPr>
          <w:p w:rsidR="00BB1F00" w:rsidRPr="00383EE6" w:rsidRDefault="00BB1F00" w:rsidP="00383EE6">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Raise efficiency in electricity use</w:t>
            </w:r>
          </w:p>
        </w:tc>
        <w:tc>
          <w:tcPr>
            <w:tcW w:w="3544"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The policy can be achi</w:t>
            </w:r>
            <w:r w:rsidR="006D3C67" w:rsidRPr="00383EE6">
              <w:rPr>
                <w:sz w:val="16"/>
                <w:szCs w:val="16"/>
              </w:rPr>
              <w:t>e</w:t>
            </w:r>
            <w:r w:rsidRPr="00383EE6">
              <w:rPr>
                <w:sz w:val="16"/>
                <w:szCs w:val="16"/>
              </w:rPr>
              <w:t xml:space="preserve">ved by raising efficiency in electricity use. </w:t>
            </w:r>
          </w:p>
        </w:tc>
        <w:tc>
          <w:tcPr>
            <w:tcW w:w="269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INCREASING EFFICIENCY TYPE SHOCK: A 10% decrease shock in exogenous final demand accounts of all electric</w:t>
            </w:r>
            <w:r w:rsidR="006D3C67" w:rsidRPr="00383EE6">
              <w:rPr>
                <w:sz w:val="16"/>
                <w:szCs w:val="16"/>
              </w:rPr>
              <w:t>i</w:t>
            </w:r>
            <w:r w:rsidRPr="00383EE6">
              <w:rPr>
                <w:sz w:val="16"/>
                <w:szCs w:val="16"/>
              </w:rPr>
              <w:t>ty producing sectors.</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EMIS02</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-0.63</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proofErr w:type="spellStart"/>
            <w:r w:rsidRPr="00383EE6">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-0.83</w:t>
            </w:r>
          </w:p>
        </w:tc>
        <w:tc>
          <w:tcPr>
            <w:tcW w:w="701"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-1.79</w:t>
            </w:r>
          </w:p>
        </w:tc>
      </w:tr>
      <w:tr w:rsidR="00383EE6" w:rsidRPr="00383EE6" w:rsidTr="00383EE6">
        <w:trPr>
          <w:trHeight w:val="2760"/>
        </w:trPr>
        <w:tc>
          <w:tcPr>
            <w:tcW w:w="704" w:type="dxa"/>
            <w:vMerge/>
            <w:tcBorders>
              <w:top w:val="nil"/>
              <w:left w:val="single" w:sz="4" w:space="0" w:color="auto"/>
              <w:bottom w:val="single" w:sz="4" w:space="0" w:color="000000"/>
              <w:right w:val="single" w:sz="4" w:space="0" w:color="auto"/>
            </w:tcBorders>
            <w:vAlign w:val="center"/>
            <w:hideMark/>
          </w:tcPr>
          <w:p w:rsidR="00BB1F00" w:rsidRPr="00383EE6" w:rsidRDefault="00BB1F00" w:rsidP="00383EE6">
            <w:pPr>
              <w:pStyle w:val="MDPI42tablebody"/>
              <w:rPr>
                <w:sz w:val="16"/>
                <w:szCs w:val="16"/>
              </w:rPr>
            </w:pPr>
          </w:p>
        </w:tc>
        <w:tc>
          <w:tcPr>
            <w:tcW w:w="184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Utilize entire technical and economic potential for hydroelectric energy</w:t>
            </w:r>
          </w:p>
        </w:tc>
        <w:tc>
          <w:tcPr>
            <w:tcW w:w="3544"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A transfer shock in exogenous final demand accounts first from coal el</w:t>
            </w:r>
            <w:r w:rsidR="006D3C67" w:rsidRPr="00383EE6">
              <w:rPr>
                <w:sz w:val="16"/>
                <w:szCs w:val="16"/>
              </w:rPr>
              <w:t>ectricity, then petroleum elect</w:t>
            </w:r>
            <w:r w:rsidRPr="00383EE6">
              <w:rPr>
                <w:sz w:val="16"/>
                <w:szCs w:val="16"/>
              </w:rPr>
              <w:t>ric</w:t>
            </w:r>
            <w:r w:rsidR="006D3C67" w:rsidRPr="00383EE6">
              <w:rPr>
                <w:sz w:val="16"/>
                <w:szCs w:val="16"/>
              </w:rPr>
              <w:t>i</w:t>
            </w:r>
            <w:r w:rsidRPr="00383EE6">
              <w:rPr>
                <w:sz w:val="16"/>
                <w:szCs w:val="16"/>
              </w:rPr>
              <w:t xml:space="preserve">ty, then natural gas electricity sectors to hydro electricity sector at a rate of 32.4% of total. (3 819 585 thousand </w:t>
            </w:r>
            <w:proofErr w:type="spellStart"/>
            <w:r w:rsidRPr="00383EE6">
              <w:rPr>
                <w:sz w:val="16"/>
                <w:szCs w:val="16"/>
              </w:rPr>
              <w:t>tl</w:t>
            </w:r>
            <w:proofErr w:type="spellEnd"/>
            <w:r w:rsidRPr="00383EE6">
              <w:rPr>
                <w:sz w:val="16"/>
                <w:szCs w:val="16"/>
              </w:rPr>
              <w:t>). (Total electricity production in 2030 is estimated to be 628.9 billion kWh (5.5% growth per year), and technical (216 billion kWh) and economic (140 billion kWh) hydroelectric energy potential is 356 billion kWh. This is a shock increasing</w:t>
            </w:r>
            <w:r w:rsidR="000F2BB4" w:rsidRPr="00383EE6">
              <w:rPr>
                <w:sz w:val="16"/>
                <w:szCs w:val="16"/>
              </w:rPr>
              <w:t xml:space="preserve"> </w:t>
            </w:r>
            <w:proofErr w:type="spellStart"/>
            <w:r w:rsidRPr="00383EE6">
              <w:rPr>
                <w:sz w:val="16"/>
                <w:szCs w:val="16"/>
              </w:rPr>
              <w:t>hydro electricity</w:t>
            </w:r>
            <w:proofErr w:type="spellEnd"/>
            <w:r w:rsidRPr="00383EE6">
              <w:rPr>
                <w:sz w:val="16"/>
                <w:szCs w:val="16"/>
              </w:rPr>
              <w:t xml:space="preserve"> share from 24.2% to 56.6% in total electricity production.) </w:t>
            </w:r>
          </w:p>
        </w:tc>
        <w:tc>
          <w:tcPr>
            <w:tcW w:w="2693"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 xml:space="preserve">TRANSFERRING VOLUME TYPE SHOCK: A transfer shock in exogenous final demand accounts from coal, then petroleum, and then natural gas electricity sectors (most emitting) to hydro electricity sector, at a rate of 32.4% of total exogenous </w:t>
            </w:r>
            <w:r w:rsidR="000F2BB4" w:rsidRPr="00383EE6">
              <w:rPr>
                <w:sz w:val="16"/>
                <w:szCs w:val="16"/>
              </w:rPr>
              <w:t xml:space="preserve">electricity </w:t>
            </w:r>
            <w:r w:rsidRPr="00383EE6">
              <w:rPr>
                <w:sz w:val="16"/>
                <w:szCs w:val="16"/>
              </w:rPr>
              <w:t>final demand.</w:t>
            </w:r>
          </w:p>
        </w:tc>
        <w:tc>
          <w:tcPr>
            <w:tcW w:w="709" w:type="dxa"/>
            <w:tcBorders>
              <w:top w:val="nil"/>
              <w:left w:val="nil"/>
              <w:bottom w:val="single" w:sz="4" w:space="0" w:color="auto"/>
              <w:right w:val="single" w:sz="4" w:space="0" w:color="auto"/>
            </w:tcBorders>
            <w:shd w:val="clear" w:color="auto" w:fill="auto"/>
            <w:hideMark/>
          </w:tcPr>
          <w:p w:rsidR="00BB1F00" w:rsidRPr="00383EE6" w:rsidRDefault="00BB1F00" w:rsidP="00383EE6">
            <w:pPr>
              <w:pStyle w:val="MDPI42tablebody"/>
              <w:rPr>
                <w:sz w:val="16"/>
                <w:szCs w:val="16"/>
              </w:rPr>
            </w:pPr>
            <w:r w:rsidRPr="00383EE6">
              <w:rPr>
                <w:sz w:val="16"/>
                <w:szCs w:val="16"/>
              </w:rPr>
              <w:t>EMIS03</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-1.54</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-3.79</w:t>
            </w:r>
          </w:p>
        </w:tc>
        <w:tc>
          <w:tcPr>
            <w:tcW w:w="701" w:type="dxa"/>
            <w:tcBorders>
              <w:top w:val="nil"/>
              <w:left w:val="nil"/>
              <w:bottom w:val="single" w:sz="4" w:space="0" w:color="auto"/>
              <w:right w:val="single" w:sz="4" w:space="0" w:color="auto"/>
            </w:tcBorders>
            <w:shd w:val="clear" w:color="auto" w:fill="auto"/>
            <w:noWrap/>
            <w:vAlign w:val="bottom"/>
            <w:hideMark/>
          </w:tcPr>
          <w:p w:rsidR="00BB1F00" w:rsidRPr="00383EE6" w:rsidRDefault="00BB1F00" w:rsidP="00383EE6">
            <w:pPr>
              <w:pStyle w:val="MDPI42tablebody"/>
              <w:rPr>
                <w:sz w:val="16"/>
                <w:szCs w:val="16"/>
              </w:rPr>
            </w:pPr>
            <w:r w:rsidRPr="00383EE6">
              <w:rPr>
                <w:sz w:val="16"/>
                <w:szCs w:val="16"/>
              </w:rPr>
              <w:t>-8.55</w:t>
            </w:r>
          </w:p>
        </w:tc>
      </w:tr>
    </w:tbl>
    <w:p w:rsidR="0051557C" w:rsidRDefault="0051557C">
      <w:pPr>
        <w:rPr>
          <w:rFonts w:ascii="Arial" w:hAnsi="Arial" w:cs="Arial"/>
          <w:sz w:val="24"/>
          <w:szCs w:val="24"/>
        </w:rPr>
      </w:pPr>
    </w:p>
    <w:p w:rsidR="00BB1F00" w:rsidRDefault="00BB1F00">
      <w:pPr>
        <w:rPr>
          <w:rFonts w:ascii="Arial" w:hAnsi="Arial" w:cs="Arial"/>
          <w:sz w:val="24"/>
          <w:szCs w:val="24"/>
        </w:rPr>
      </w:pPr>
    </w:p>
    <w:p w:rsidR="00BB1F00" w:rsidRDefault="00BB1F00">
      <w:pPr>
        <w:rPr>
          <w:rFonts w:ascii="Arial" w:hAnsi="Arial" w:cs="Arial"/>
          <w:sz w:val="24"/>
          <w:szCs w:val="24"/>
        </w:rPr>
      </w:pPr>
      <w:r>
        <w:rPr>
          <w:rFonts w:ascii="Arial" w:hAnsi="Arial" w:cs="Arial"/>
          <w:sz w:val="24"/>
          <w:szCs w:val="24"/>
        </w:rPr>
        <w:br w:type="page"/>
      </w:r>
    </w:p>
    <w:tbl>
      <w:tblPr>
        <w:tblpPr w:leftFromText="180" w:rightFromText="180" w:vertAnchor="text" w:tblpY="1"/>
        <w:tblOverlap w:val="never"/>
        <w:tblW w:w="5003" w:type="pct"/>
        <w:tblLayout w:type="fixed"/>
        <w:tblLook w:val="04A0" w:firstRow="1" w:lastRow="0" w:firstColumn="1" w:lastColumn="0" w:noHBand="0" w:noVBand="1"/>
      </w:tblPr>
      <w:tblGrid>
        <w:gridCol w:w="819"/>
        <w:gridCol w:w="1845"/>
        <w:gridCol w:w="3531"/>
        <w:gridCol w:w="14"/>
        <w:gridCol w:w="2688"/>
        <w:gridCol w:w="711"/>
        <w:gridCol w:w="843"/>
        <w:gridCol w:w="11"/>
        <w:gridCol w:w="700"/>
        <w:gridCol w:w="8"/>
        <w:gridCol w:w="703"/>
        <w:gridCol w:w="8"/>
        <w:gridCol w:w="700"/>
        <w:gridCol w:w="8"/>
        <w:gridCol w:w="700"/>
        <w:gridCol w:w="11"/>
        <w:gridCol w:w="700"/>
      </w:tblGrid>
      <w:tr w:rsidR="00BB1F00" w:rsidRPr="00FE2204" w:rsidTr="00372D53">
        <w:trPr>
          <w:cantSplit/>
          <w:trHeight w:val="268"/>
        </w:trPr>
        <w:tc>
          <w:tcPr>
            <w:tcW w:w="4998" w:type="pct"/>
            <w:gridSpan w:val="17"/>
            <w:tcBorders>
              <w:top w:val="single" w:sz="4" w:space="0" w:color="auto"/>
              <w:left w:val="single" w:sz="4" w:space="0" w:color="auto"/>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lastRenderedPageBreak/>
              <w:t>Emission decreasing simulations (continues)</w:t>
            </w:r>
          </w:p>
        </w:tc>
      </w:tr>
      <w:tr w:rsidR="00372D53" w:rsidRPr="00FE2204" w:rsidTr="00372D53">
        <w:trPr>
          <w:cantSplit/>
          <w:trHeight w:val="1295"/>
        </w:trPr>
        <w:tc>
          <w:tcPr>
            <w:tcW w:w="292" w:type="pct"/>
            <w:tcBorders>
              <w:top w:val="nil"/>
              <w:left w:val="single" w:sz="4" w:space="0" w:color="auto"/>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Sector</w:t>
            </w:r>
          </w:p>
        </w:tc>
        <w:tc>
          <w:tcPr>
            <w:tcW w:w="659" w:type="pct"/>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Aim of policy to be implemented</w:t>
            </w:r>
          </w:p>
        </w:tc>
        <w:tc>
          <w:tcPr>
            <w:tcW w:w="1261" w:type="pct"/>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Explanation</w:t>
            </w:r>
          </w:p>
        </w:tc>
        <w:tc>
          <w:tcPr>
            <w:tcW w:w="965"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Policy for 2030</w:t>
            </w:r>
          </w:p>
        </w:tc>
        <w:tc>
          <w:tcPr>
            <w:tcW w:w="254" w:type="pct"/>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Shock number</w:t>
            </w:r>
          </w:p>
        </w:tc>
        <w:tc>
          <w:tcPr>
            <w:tcW w:w="301" w:type="pct"/>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Change of total greenhouse gas inventory (%)</w:t>
            </w:r>
          </w:p>
        </w:tc>
        <w:tc>
          <w:tcPr>
            <w:tcW w:w="254"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Change in employment (%)</w:t>
            </w:r>
          </w:p>
        </w:tc>
        <w:tc>
          <w:tcPr>
            <w:tcW w:w="254"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 xml:space="preserve">Change in </w:t>
            </w:r>
            <w:proofErr w:type="spellStart"/>
            <w:r w:rsidRPr="00FE2204">
              <w:rPr>
                <w:sz w:val="16"/>
                <w:szCs w:val="16"/>
              </w:rPr>
              <w:t>gdp</w:t>
            </w:r>
            <w:proofErr w:type="spellEnd"/>
            <w:r w:rsidRPr="00FE2204">
              <w:rPr>
                <w:sz w:val="16"/>
                <w:szCs w:val="16"/>
              </w:rPr>
              <w:t xml:space="preserve"> (%)</w:t>
            </w:r>
          </w:p>
        </w:tc>
        <w:tc>
          <w:tcPr>
            <w:tcW w:w="253"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Change in output (%)</w:t>
            </w:r>
          </w:p>
        </w:tc>
        <w:tc>
          <w:tcPr>
            <w:tcW w:w="253"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Change in hard coal use (%)</w:t>
            </w:r>
          </w:p>
        </w:tc>
        <w:tc>
          <w:tcPr>
            <w:tcW w:w="254" w:type="pct"/>
            <w:gridSpan w:val="2"/>
            <w:tcBorders>
              <w:top w:val="nil"/>
              <w:left w:val="nil"/>
              <w:bottom w:val="single" w:sz="4" w:space="0" w:color="auto"/>
              <w:right w:val="single" w:sz="4" w:space="0" w:color="auto"/>
            </w:tcBorders>
            <w:shd w:val="clear" w:color="auto" w:fill="auto"/>
            <w:hideMark/>
          </w:tcPr>
          <w:p w:rsidR="00BB1F00" w:rsidRPr="00FE2204" w:rsidRDefault="00BB1F00" w:rsidP="00FE2204">
            <w:pPr>
              <w:pStyle w:val="MDPI42tablebody"/>
              <w:rPr>
                <w:sz w:val="16"/>
                <w:szCs w:val="16"/>
              </w:rPr>
            </w:pPr>
            <w:r w:rsidRPr="00FE2204">
              <w:rPr>
                <w:sz w:val="16"/>
                <w:szCs w:val="16"/>
              </w:rPr>
              <w:t>Change in lignite use (%)</w:t>
            </w:r>
          </w:p>
        </w:tc>
      </w:tr>
      <w:tr w:rsidR="00372D53" w:rsidRPr="00FE2204" w:rsidTr="00372D53">
        <w:trPr>
          <w:cantSplit/>
          <w:trHeight w:val="1095"/>
        </w:trPr>
        <w:tc>
          <w:tcPr>
            <w:tcW w:w="29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ENERGY</w:t>
            </w:r>
          </w:p>
        </w:tc>
        <w:tc>
          <w:tcPr>
            <w:tcW w:w="659"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Increase efficiency in coal, petroleum and natural gas electricity production with co-generation technology</w:t>
            </w:r>
          </w:p>
        </w:tc>
        <w:tc>
          <w:tcPr>
            <w:tcW w:w="1261"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 xml:space="preserve">Co-generation can decrease demand for electricity beside decreasing cost of producing electricity. </w:t>
            </w:r>
          </w:p>
        </w:tc>
        <w:tc>
          <w:tcPr>
            <w:tcW w:w="965" w:type="pct"/>
            <w:gridSpan w:val="2"/>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INCREASING EFFICIENCY TYPE SHOCK: A 10% decrease shock in exogenous final demand accounts in coal, petroleum and natural gas electricity production.</w:t>
            </w:r>
          </w:p>
        </w:tc>
        <w:tc>
          <w:tcPr>
            <w:tcW w:w="254"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EMIS04</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-0.53</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-0.71</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-1.53</w:t>
            </w:r>
          </w:p>
        </w:tc>
      </w:tr>
      <w:tr w:rsidR="00372D53" w:rsidRPr="00FE2204" w:rsidTr="00372D53">
        <w:trPr>
          <w:cantSplit/>
          <w:trHeight w:val="841"/>
        </w:trPr>
        <w:tc>
          <w:tcPr>
            <w:tcW w:w="292" w:type="pct"/>
            <w:vMerge/>
            <w:tcBorders>
              <w:top w:val="single" w:sz="4" w:space="0" w:color="auto"/>
              <w:left w:val="single" w:sz="4" w:space="0" w:color="auto"/>
              <w:bottom w:val="single" w:sz="4" w:space="0" w:color="auto"/>
              <w:right w:val="single" w:sz="4" w:space="0" w:color="auto"/>
            </w:tcBorders>
            <w:vAlign w:val="center"/>
            <w:hideMark/>
          </w:tcPr>
          <w:p w:rsidR="00372D53" w:rsidRPr="00FE2204" w:rsidRDefault="00372D53" w:rsidP="00FE2204">
            <w:pPr>
              <w:pStyle w:val="MDPI42tablebody"/>
              <w:rPr>
                <w:sz w:val="16"/>
                <w:szCs w:val="16"/>
              </w:rPr>
            </w:pPr>
          </w:p>
        </w:tc>
        <w:tc>
          <w:tcPr>
            <w:tcW w:w="659"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 xml:space="preserve">Reduce losses and illicit use in electricity distribution </w:t>
            </w:r>
          </w:p>
        </w:tc>
        <w:tc>
          <w:tcPr>
            <w:tcW w:w="1261"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 xml:space="preserve">Reducing losses can decrease total electricity demand. </w:t>
            </w:r>
          </w:p>
        </w:tc>
        <w:tc>
          <w:tcPr>
            <w:tcW w:w="965" w:type="pct"/>
            <w:gridSpan w:val="2"/>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INCREASING EFFICIENCY TYPE SHOCK: A 10% decrease shock in exogenous final demand accounts in all electricity producing sectors.</w:t>
            </w:r>
          </w:p>
        </w:tc>
        <w:tc>
          <w:tcPr>
            <w:tcW w:w="254"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EMIS05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-0.63</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proofErr w:type="spellStart"/>
            <w:r w:rsidRPr="00FE2204">
              <w:rPr>
                <w:sz w:val="16"/>
                <w:szCs w:val="16"/>
              </w:rPr>
              <w:t>na</w:t>
            </w:r>
            <w:proofErr w:type="spellEnd"/>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-0.83</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-1.79</w:t>
            </w:r>
          </w:p>
        </w:tc>
      </w:tr>
      <w:tr w:rsidR="00372D53" w:rsidRPr="00FE2204" w:rsidTr="00372D53">
        <w:trPr>
          <w:cantSplit/>
          <w:trHeight w:val="1108"/>
        </w:trPr>
        <w:tc>
          <w:tcPr>
            <w:tcW w:w="292" w:type="pct"/>
            <w:vMerge/>
            <w:tcBorders>
              <w:top w:val="single" w:sz="4" w:space="0" w:color="auto"/>
              <w:left w:val="single" w:sz="4" w:space="0" w:color="auto"/>
              <w:bottom w:val="single" w:sz="4" w:space="0" w:color="auto"/>
              <w:right w:val="single" w:sz="4" w:space="0" w:color="auto"/>
            </w:tcBorders>
            <w:vAlign w:val="center"/>
            <w:hideMark/>
          </w:tcPr>
          <w:p w:rsidR="00372D53" w:rsidRPr="00FE2204" w:rsidRDefault="00372D53" w:rsidP="00FE2204">
            <w:pPr>
              <w:pStyle w:val="MDPI42tablebody"/>
              <w:rPr>
                <w:sz w:val="16"/>
                <w:szCs w:val="16"/>
              </w:rPr>
            </w:pPr>
          </w:p>
        </w:tc>
        <w:tc>
          <w:tcPr>
            <w:tcW w:w="65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Increase the share of clean energy in electricity production</w:t>
            </w:r>
          </w:p>
        </w:tc>
        <w:tc>
          <w:tcPr>
            <w:tcW w:w="1261"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Coal electricity production is the most emitting sector with 1873 kg CO</w:t>
            </w:r>
            <w:r w:rsidRPr="0061151E">
              <w:rPr>
                <w:sz w:val="16"/>
                <w:szCs w:val="16"/>
                <w:vertAlign w:val="subscript"/>
              </w:rPr>
              <w:t>2</w:t>
            </w:r>
            <w:r w:rsidRPr="00FE2204">
              <w:rPr>
                <w:sz w:val="16"/>
                <w:szCs w:val="16"/>
              </w:rPr>
              <w:t xml:space="preserve"> eq. per thousand TL. </w:t>
            </w:r>
          </w:p>
        </w:tc>
        <w:tc>
          <w:tcPr>
            <w:tcW w:w="965" w:type="pct"/>
            <w:gridSpan w:val="2"/>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TRANSFERRING VOLUME TYPE SHOCK: A 10% transfer shock in exogenous final demand accounts from coal electricity to renewable electricity.</w:t>
            </w:r>
          </w:p>
        </w:tc>
        <w:tc>
          <w:tcPr>
            <w:tcW w:w="254"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EMIS06</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-0.14</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-0.38</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-0.85</w:t>
            </w:r>
          </w:p>
        </w:tc>
      </w:tr>
      <w:tr w:rsidR="00372D53" w:rsidRPr="00FE2204" w:rsidTr="00372D53">
        <w:trPr>
          <w:cantSplit/>
          <w:trHeight w:val="1124"/>
        </w:trPr>
        <w:tc>
          <w:tcPr>
            <w:tcW w:w="292" w:type="pct"/>
            <w:vMerge/>
            <w:tcBorders>
              <w:top w:val="single" w:sz="4" w:space="0" w:color="auto"/>
              <w:left w:val="single" w:sz="4" w:space="0" w:color="auto"/>
              <w:bottom w:val="single" w:sz="4" w:space="0" w:color="auto"/>
              <w:right w:val="single" w:sz="4" w:space="0" w:color="auto"/>
            </w:tcBorders>
            <w:vAlign w:val="center"/>
            <w:hideMark/>
          </w:tcPr>
          <w:p w:rsidR="00372D53" w:rsidRPr="00FE2204" w:rsidRDefault="00372D53" w:rsidP="00FE2204">
            <w:pPr>
              <w:pStyle w:val="MDPI42tablebody"/>
              <w:rPr>
                <w:sz w:val="16"/>
                <w:szCs w:val="16"/>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372D53" w:rsidRPr="00FE2204" w:rsidRDefault="00372D53" w:rsidP="00FE2204">
            <w:pPr>
              <w:pStyle w:val="MDPI42tablebody"/>
              <w:rPr>
                <w:sz w:val="16"/>
                <w:szCs w:val="16"/>
              </w:rPr>
            </w:pPr>
          </w:p>
        </w:tc>
        <w:tc>
          <w:tcPr>
            <w:tcW w:w="1261"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Petroleum electricity is emitting 1435 kg CO</w:t>
            </w:r>
            <w:r w:rsidRPr="0061151E">
              <w:rPr>
                <w:sz w:val="16"/>
                <w:szCs w:val="16"/>
                <w:vertAlign w:val="subscript"/>
              </w:rPr>
              <w:t>2</w:t>
            </w:r>
            <w:r w:rsidRPr="00FE2204">
              <w:rPr>
                <w:sz w:val="16"/>
                <w:szCs w:val="16"/>
              </w:rPr>
              <w:t xml:space="preserve"> eq. per thousand TL. </w:t>
            </w:r>
          </w:p>
        </w:tc>
        <w:tc>
          <w:tcPr>
            <w:tcW w:w="965" w:type="pct"/>
            <w:gridSpan w:val="2"/>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TRANSFERRING VOLUME TYPE SHOCK: A 10% transfer shock in exogenous final demand accounts from petroleum electricity to renewable electricity.</w:t>
            </w:r>
          </w:p>
        </w:tc>
        <w:tc>
          <w:tcPr>
            <w:tcW w:w="254" w:type="pct"/>
            <w:tcBorders>
              <w:top w:val="single" w:sz="4" w:space="0" w:color="auto"/>
              <w:left w:val="nil"/>
              <w:bottom w:val="single" w:sz="4" w:space="0" w:color="auto"/>
              <w:right w:val="single" w:sz="4" w:space="0" w:color="auto"/>
            </w:tcBorders>
            <w:shd w:val="clear" w:color="auto" w:fill="auto"/>
            <w:hideMark/>
          </w:tcPr>
          <w:p w:rsidR="00372D53" w:rsidRPr="00FE2204" w:rsidRDefault="00372D53" w:rsidP="00FE2204">
            <w:pPr>
              <w:pStyle w:val="MDPI42tablebody"/>
              <w:rPr>
                <w:sz w:val="16"/>
                <w:szCs w:val="16"/>
              </w:rPr>
            </w:pPr>
            <w:r w:rsidRPr="00FE2204">
              <w:rPr>
                <w:sz w:val="16"/>
                <w:szCs w:val="16"/>
              </w:rPr>
              <w:t>EMIS07</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-0.003</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0.000</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0.000</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0.000</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0.000</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hideMark/>
          </w:tcPr>
          <w:p w:rsidR="00372D53" w:rsidRPr="00FE2204" w:rsidRDefault="00372D53" w:rsidP="00FE2204">
            <w:pPr>
              <w:pStyle w:val="MDPI42tablebody"/>
              <w:rPr>
                <w:sz w:val="16"/>
                <w:szCs w:val="16"/>
              </w:rPr>
            </w:pPr>
            <w:r w:rsidRPr="00FE2204">
              <w:rPr>
                <w:sz w:val="16"/>
                <w:szCs w:val="16"/>
              </w:rPr>
              <w:t>0.000</w:t>
            </w:r>
          </w:p>
        </w:tc>
      </w:tr>
      <w:tr w:rsidR="00372D53" w:rsidRPr="00FE2204" w:rsidTr="00372D53">
        <w:trPr>
          <w:cantSplit/>
          <w:trHeight w:val="1295"/>
        </w:trPr>
        <w:tc>
          <w:tcPr>
            <w:tcW w:w="292" w:type="pct"/>
            <w:vMerge/>
            <w:tcBorders>
              <w:top w:val="single" w:sz="4" w:space="0" w:color="auto"/>
              <w:left w:val="single" w:sz="4" w:space="0" w:color="auto"/>
              <w:bottom w:val="single" w:sz="4" w:space="0" w:color="auto"/>
              <w:right w:val="single" w:sz="4" w:space="0" w:color="auto"/>
            </w:tcBorders>
            <w:vAlign w:val="center"/>
          </w:tcPr>
          <w:p w:rsidR="00372D53" w:rsidRPr="00FE2204" w:rsidRDefault="00372D53" w:rsidP="00372D53">
            <w:pPr>
              <w:pStyle w:val="MDPI42tablebody"/>
              <w:rPr>
                <w:sz w:val="16"/>
                <w:szCs w:val="1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372D53" w:rsidRPr="00FE2204" w:rsidRDefault="00372D53" w:rsidP="00372D53">
            <w:pPr>
              <w:pStyle w:val="MDPI42tablebody"/>
              <w:rPr>
                <w:sz w:val="16"/>
                <w:szCs w:val="16"/>
              </w:rPr>
            </w:pPr>
          </w:p>
        </w:tc>
        <w:tc>
          <w:tcPr>
            <w:tcW w:w="1266" w:type="pct"/>
            <w:gridSpan w:val="2"/>
            <w:tcBorders>
              <w:top w:val="single" w:sz="4" w:space="0" w:color="auto"/>
              <w:left w:val="nil"/>
              <w:bottom w:val="single" w:sz="4" w:space="0" w:color="auto"/>
              <w:right w:val="single" w:sz="4" w:space="0" w:color="auto"/>
            </w:tcBorders>
            <w:shd w:val="clear" w:color="auto" w:fill="auto"/>
          </w:tcPr>
          <w:p w:rsidR="00372D53" w:rsidRPr="00FE2204" w:rsidRDefault="00372D53" w:rsidP="00372D53">
            <w:pPr>
              <w:pStyle w:val="MDPI42tablebody"/>
              <w:rPr>
                <w:sz w:val="16"/>
                <w:szCs w:val="16"/>
              </w:rPr>
            </w:pPr>
            <w:r w:rsidRPr="00FE2204">
              <w:rPr>
                <w:sz w:val="16"/>
                <w:szCs w:val="16"/>
              </w:rPr>
              <w:t>Natural gas electricity is emitting 1041 kg CO</w:t>
            </w:r>
            <w:r w:rsidRPr="0061151E">
              <w:rPr>
                <w:sz w:val="16"/>
                <w:szCs w:val="16"/>
                <w:vertAlign w:val="subscript"/>
              </w:rPr>
              <w:t>2</w:t>
            </w:r>
            <w:r w:rsidRPr="00FE2204">
              <w:rPr>
                <w:sz w:val="16"/>
                <w:szCs w:val="16"/>
              </w:rPr>
              <w:t xml:space="preserve"> eq. per thousand TL.</w:t>
            </w:r>
          </w:p>
        </w:tc>
        <w:tc>
          <w:tcPr>
            <w:tcW w:w="960" w:type="pct"/>
            <w:tcBorders>
              <w:top w:val="single" w:sz="4" w:space="0" w:color="auto"/>
              <w:left w:val="nil"/>
              <w:bottom w:val="single" w:sz="4" w:space="0" w:color="auto"/>
              <w:right w:val="single" w:sz="4" w:space="0" w:color="auto"/>
            </w:tcBorders>
            <w:shd w:val="clear" w:color="auto" w:fill="auto"/>
          </w:tcPr>
          <w:p w:rsidR="00372D53" w:rsidRPr="00FE2204" w:rsidRDefault="00372D53" w:rsidP="00372D53">
            <w:pPr>
              <w:pStyle w:val="MDPI42tablebody"/>
              <w:rPr>
                <w:sz w:val="16"/>
                <w:szCs w:val="16"/>
              </w:rPr>
            </w:pPr>
            <w:r w:rsidRPr="00FE2204">
              <w:rPr>
                <w:sz w:val="16"/>
                <w:szCs w:val="16"/>
              </w:rPr>
              <w:t>TRANSFERRING VOLUME TYPE SHOCK: A 10% transfer shock in exogenous accounts from natural gas electricity to renewable electricity.</w:t>
            </w:r>
          </w:p>
        </w:tc>
        <w:tc>
          <w:tcPr>
            <w:tcW w:w="254" w:type="pct"/>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EMIS08</w:t>
            </w:r>
          </w:p>
        </w:tc>
        <w:tc>
          <w:tcPr>
            <w:tcW w:w="305" w:type="pct"/>
            <w:gridSpan w:val="2"/>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-0.12</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0.00</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0.00</w:t>
            </w:r>
          </w:p>
        </w:tc>
        <w:tc>
          <w:tcPr>
            <w:tcW w:w="253" w:type="pct"/>
            <w:gridSpan w:val="2"/>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0.00</w:t>
            </w:r>
          </w:p>
        </w:tc>
        <w:tc>
          <w:tcPr>
            <w:tcW w:w="254" w:type="pct"/>
            <w:gridSpan w:val="2"/>
            <w:tcBorders>
              <w:top w:val="single" w:sz="4" w:space="0" w:color="auto"/>
              <w:left w:val="nil"/>
              <w:bottom w:val="single" w:sz="4" w:space="0" w:color="auto"/>
              <w:right w:val="single" w:sz="4" w:space="0" w:color="auto"/>
            </w:tcBorders>
            <w:shd w:val="clear" w:color="auto" w:fill="auto"/>
            <w:noWrap/>
            <w:vAlign w:val="bottom"/>
          </w:tcPr>
          <w:p w:rsidR="00372D53" w:rsidRPr="00FE2204" w:rsidRDefault="00372D53" w:rsidP="00372D53">
            <w:pPr>
              <w:pStyle w:val="MDPI42tablebody"/>
              <w:rPr>
                <w:sz w:val="16"/>
                <w:szCs w:val="16"/>
              </w:rPr>
            </w:pPr>
            <w:r w:rsidRPr="00FE2204">
              <w:rPr>
                <w:sz w:val="16"/>
                <w:szCs w:val="16"/>
              </w:rPr>
              <w:t>0.00</w:t>
            </w:r>
          </w:p>
        </w:tc>
        <w:tc>
          <w:tcPr>
            <w:tcW w:w="253" w:type="pct"/>
            <w:tcBorders>
              <w:top w:val="single" w:sz="4" w:space="0" w:color="auto"/>
              <w:bottom w:val="single" w:sz="4" w:space="0" w:color="auto"/>
              <w:right w:val="single" w:sz="4" w:space="0" w:color="auto"/>
            </w:tcBorders>
            <w:vAlign w:val="bottom"/>
          </w:tcPr>
          <w:p w:rsidR="00372D53" w:rsidRPr="00FE2204" w:rsidRDefault="00372D53" w:rsidP="00372D53">
            <w:pPr>
              <w:pStyle w:val="MDPI42tablebody"/>
              <w:rPr>
                <w:sz w:val="16"/>
                <w:szCs w:val="16"/>
              </w:rPr>
            </w:pPr>
            <w:r w:rsidRPr="00FE2204">
              <w:rPr>
                <w:sz w:val="16"/>
                <w:szCs w:val="16"/>
              </w:rPr>
              <w:t>0.00</w:t>
            </w:r>
          </w:p>
        </w:tc>
      </w:tr>
    </w:tbl>
    <w:p w:rsidR="00372D53" w:rsidRDefault="00372D53">
      <w:pPr>
        <w:rPr>
          <w:rFonts w:ascii="Arial" w:hAnsi="Arial" w:cs="Arial"/>
          <w:sz w:val="24"/>
          <w:szCs w:val="24"/>
        </w:rPr>
      </w:pPr>
    </w:p>
    <w:p w:rsidR="00372D53" w:rsidRDefault="00372D53">
      <w:pPr>
        <w:rPr>
          <w:rFonts w:ascii="Arial" w:hAnsi="Arial" w:cs="Arial"/>
          <w:sz w:val="24"/>
          <w:szCs w:val="24"/>
        </w:rPr>
      </w:pPr>
      <w:r>
        <w:rPr>
          <w:rFonts w:ascii="Arial" w:hAnsi="Arial" w:cs="Arial"/>
          <w:sz w:val="24"/>
          <w:szCs w:val="24"/>
        </w:rPr>
        <w:br w:type="page"/>
      </w:r>
    </w:p>
    <w:tbl>
      <w:tblPr>
        <w:tblpPr w:leftFromText="180" w:rightFromText="180" w:vertAnchor="text" w:tblpY="1"/>
        <w:tblOverlap w:val="never"/>
        <w:tblW w:w="14000" w:type="dxa"/>
        <w:tblLayout w:type="fixed"/>
        <w:tblLook w:val="04A0" w:firstRow="1" w:lastRow="0" w:firstColumn="1" w:lastColumn="0" w:noHBand="0" w:noVBand="1"/>
      </w:tblPr>
      <w:tblGrid>
        <w:gridCol w:w="675"/>
        <w:gridCol w:w="1985"/>
        <w:gridCol w:w="3544"/>
        <w:gridCol w:w="2693"/>
        <w:gridCol w:w="709"/>
        <w:gridCol w:w="850"/>
        <w:gridCol w:w="709"/>
        <w:gridCol w:w="709"/>
        <w:gridCol w:w="708"/>
        <w:gridCol w:w="709"/>
        <w:gridCol w:w="709"/>
      </w:tblGrid>
      <w:tr w:rsidR="00BB1F00" w:rsidRPr="00372D53" w:rsidTr="0071589F">
        <w:tc>
          <w:tcPr>
            <w:tcW w:w="14000" w:type="dxa"/>
            <w:gridSpan w:val="11"/>
            <w:tcBorders>
              <w:top w:val="single" w:sz="4" w:space="0" w:color="auto"/>
              <w:left w:val="single" w:sz="4" w:space="0" w:color="auto"/>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lastRenderedPageBreak/>
              <w:t>Emission decreasing simulations (continues)</w:t>
            </w:r>
          </w:p>
        </w:tc>
      </w:tr>
      <w:tr w:rsidR="0071589F" w:rsidRPr="00372D53" w:rsidTr="0071589F">
        <w:tc>
          <w:tcPr>
            <w:tcW w:w="675" w:type="dxa"/>
            <w:tcBorders>
              <w:top w:val="nil"/>
              <w:left w:val="single" w:sz="4" w:space="0" w:color="auto"/>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Sector</w:t>
            </w:r>
          </w:p>
        </w:tc>
        <w:tc>
          <w:tcPr>
            <w:tcW w:w="1985"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 xml:space="preserve">Change in </w:t>
            </w:r>
            <w:proofErr w:type="spellStart"/>
            <w:r w:rsidRPr="00372D53">
              <w:rPr>
                <w:sz w:val="16"/>
                <w:szCs w:val="16"/>
              </w:rPr>
              <w:t>gdp</w:t>
            </w:r>
            <w:proofErr w:type="spellEnd"/>
            <w:r w:rsidRPr="00372D53">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Change in hard coal use (%)</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Change in lignite use (%)</w:t>
            </w:r>
          </w:p>
        </w:tc>
      </w:tr>
      <w:tr w:rsidR="0071589F" w:rsidRPr="00372D53" w:rsidTr="0071589F">
        <w:tc>
          <w:tcPr>
            <w:tcW w:w="675" w:type="dxa"/>
            <w:tcBorders>
              <w:top w:val="nil"/>
              <w:left w:val="single" w:sz="4" w:space="0" w:color="auto"/>
              <w:bottom w:val="nil"/>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INDUSTRY</w:t>
            </w:r>
          </w:p>
        </w:tc>
        <w:tc>
          <w:tcPr>
            <w:tcW w:w="1985" w:type="dxa"/>
            <w:tcBorders>
              <w:top w:val="nil"/>
              <w:left w:val="nil"/>
              <w:bottom w:val="nil"/>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Decrease CO</w:t>
            </w:r>
            <w:r w:rsidRPr="0061151E">
              <w:rPr>
                <w:sz w:val="16"/>
                <w:szCs w:val="16"/>
                <w:vertAlign w:val="subscript"/>
              </w:rPr>
              <w:t>2</w:t>
            </w:r>
            <w:r w:rsidRPr="00372D53">
              <w:rPr>
                <w:sz w:val="16"/>
                <w:szCs w:val="16"/>
              </w:rPr>
              <w:t xml:space="preserve"> equivalent intensity per GDP produced in the industrial sectors</w:t>
            </w:r>
          </w:p>
        </w:tc>
        <w:tc>
          <w:tcPr>
            <w:tcW w:w="3544"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Mineral sector has the highest emission coefficient (1084) among other industry sectors and it has 0.77% share in total gross output in the economy. Transfe</w:t>
            </w:r>
            <w:r w:rsidR="00836951" w:rsidRPr="00372D53">
              <w:rPr>
                <w:sz w:val="16"/>
                <w:szCs w:val="16"/>
              </w:rPr>
              <w:t>r</w:t>
            </w:r>
            <w:r w:rsidRPr="00372D53">
              <w:rPr>
                <w:sz w:val="16"/>
                <w:szCs w:val="16"/>
              </w:rPr>
              <w:t xml:space="preserve">ring demand from mineral to an aggregate sector with </w:t>
            </w:r>
            <w:r w:rsidR="00161043" w:rsidRPr="00372D53">
              <w:rPr>
                <w:sz w:val="16"/>
                <w:szCs w:val="16"/>
              </w:rPr>
              <w:t xml:space="preserve">a </w:t>
            </w:r>
            <w:proofErr w:type="gramStart"/>
            <w:r w:rsidRPr="00372D53">
              <w:rPr>
                <w:sz w:val="16"/>
                <w:szCs w:val="16"/>
              </w:rPr>
              <w:t>zero</w:t>
            </w:r>
            <w:r w:rsidR="000F2BB4" w:rsidRPr="00372D53">
              <w:rPr>
                <w:sz w:val="16"/>
                <w:szCs w:val="16"/>
              </w:rPr>
              <w:t xml:space="preserve"> </w:t>
            </w:r>
            <w:r w:rsidRPr="00372D53">
              <w:rPr>
                <w:sz w:val="16"/>
                <w:szCs w:val="16"/>
              </w:rPr>
              <w:t>emission</w:t>
            </w:r>
            <w:proofErr w:type="gramEnd"/>
            <w:r w:rsidR="00161043" w:rsidRPr="00372D53">
              <w:rPr>
                <w:sz w:val="16"/>
                <w:szCs w:val="16"/>
              </w:rPr>
              <w:t xml:space="preserve"> </w:t>
            </w:r>
            <w:r w:rsidRPr="00372D53">
              <w:rPr>
                <w:sz w:val="16"/>
                <w:szCs w:val="16"/>
              </w:rPr>
              <w:t>coefficient</w:t>
            </w:r>
            <w:r w:rsidR="00161043" w:rsidRPr="00372D53">
              <w:rPr>
                <w:sz w:val="16"/>
                <w:szCs w:val="16"/>
              </w:rPr>
              <w:t xml:space="preserve"> value</w:t>
            </w:r>
            <w:r w:rsidRPr="00372D53">
              <w:rPr>
                <w:sz w:val="16"/>
                <w:szCs w:val="16"/>
              </w:rPr>
              <w:t xml:space="preserve">, service, can help to decrease emission sourcing from domestic production. Turkey can import products of this sector. </w:t>
            </w:r>
          </w:p>
        </w:tc>
        <w:tc>
          <w:tcPr>
            <w:tcW w:w="2693"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TRANSFERRING VOLUME TYPE SHOCK: A 10% transfer shock in exogenous accounts from mineral sector to service sector.</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EMIS09</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-0.18</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0.03</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0.02</w:t>
            </w:r>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-0.01</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-0.02</w:t>
            </w:r>
          </w:p>
        </w:tc>
      </w:tr>
      <w:tr w:rsidR="0071589F" w:rsidRPr="00372D53" w:rsidTr="0071589F">
        <w:tc>
          <w:tcPr>
            <w:tcW w:w="6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TRANSPORTATION</w:t>
            </w:r>
          </w:p>
        </w:tc>
        <w:tc>
          <w:tcPr>
            <w:tcW w:w="1985" w:type="dxa"/>
            <w:vMerge w:val="restart"/>
            <w:tcBorders>
              <w:top w:val="single" w:sz="4" w:space="0" w:color="auto"/>
              <w:left w:val="single" w:sz="4" w:space="0" w:color="auto"/>
              <w:bottom w:val="nil"/>
              <w:right w:val="single" w:sz="4" w:space="0" w:color="auto"/>
            </w:tcBorders>
            <w:shd w:val="clear" w:color="auto" w:fill="auto"/>
            <w:hideMark/>
          </w:tcPr>
          <w:p w:rsidR="006D3C67" w:rsidRPr="00372D53" w:rsidRDefault="00BB1F00" w:rsidP="0071589F">
            <w:pPr>
              <w:pStyle w:val="MDPI42tablebody"/>
              <w:rPr>
                <w:sz w:val="16"/>
                <w:szCs w:val="16"/>
              </w:rPr>
            </w:pPr>
            <w:r w:rsidRPr="00372D53">
              <w:rPr>
                <w:sz w:val="16"/>
                <w:szCs w:val="16"/>
              </w:rPr>
              <w:t>Decrease CO</w:t>
            </w:r>
            <w:r w:rsidRPr="0061151E">
              <w:rPr>
                <w:sz w:val="16"/>
                <w:szCs w:val="16"/>
                <w:vertAlign w:val="subscript"/>
              </w:rPr>
              <w:t>2</w:t>
            </w:r>
            <w:r w:rsidRPr="00372D53">
              <w:rPr>
                <w:sz w:val="16"/>
                <w:szCs w:val="16"/>
              </w:rPr>
              <w:t xml:space="preserve"> equivalent intensity per freight and passenger transport by utilizat</w:t>
            </w:r>
            <w:r w:rsidR="006D3C67" w:rsidRPr="00372D53">
              <w:rPr>
                <w:sz w:val="16"/>
                <w:szCs w:val="16"/>
              </w:rPr>
              <w:t xml:space="preserve">ion of transport modes more </w:t>
            </w:r>
            <w:proofErr w:type="spellStart"/>
            <w:r w:rsidR="006D3C67" w:rsidRPr="00372D53">
              <w:rPr>
                <w:sz w:val="16"/>
                <w:szCs w:val="16"/>
              </w:rPr>
              <w:t>balancedly</w:t>
            </w:r>
            <w:proofErr w:type="spellEnd"/>
          </w:p>
        </w:tc>
        <w:tc>
          <w:tcPr>
            <w:tcW w:w="3544" w:type="dxa"/>
            <w:tcBorders>
              <w:top w:val="nil"/>
              <w:left w:val="nil"/>
              <w:bottom w:val="nil"/>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 xml:space="preserve">Railway transportation emission coefficient is less than highway transportation's coefficient. </w:t>
            </w:r>
          </w:p>
        </w:tc>
        <w:tc>
          <w:tcPr>
            <w:tcW w:w="2693"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TRANSFERRING VOLUME TYPE SHOCK: A 10% transfer shock in exogenous accounts from highway transportation to railway tra</w:t>
            </w:r>
            <w:r w:rsidR="006D3C67" w:rsidRPr="00372D53">
              <w:rPr>
                <w:sz w:val="16"/>
                <w:szCs w:val="16"/>
              </w:rPr>
              <w:t>n</w:t>
            </w:r>
            <w:r w:rsidRPr="00372D53">
              <w:rPr>
                <w:sz w:val="16"/>
                <w:szCs w:val="16"/>
              </w:rPr>
              <w:t>sportation.</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EMIS10</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-0.22</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-0.05</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-0.01</w:t>
            </w:r>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0.00</w:t>
            </w:r>
          </w:p>
        </w:tc>
      </w:tr>
      <w:tr w:rsidR="0071589F" w:rsidRPr="00372D53" w:rsidTr="0071589F">
        <w:tc>
          <w:tcPr>
            <w:tcW w:w="675" w:type="dxa"/>
            <w:vMerge/>
            <w:tcBorders>
              <w:top w:val="single" w:sz="4" w:space="0" w:color="auto"/>
              <w:left w:val="single" w:sz="4" w:space="0" w:color="auto"/>
              <w:bottom w:val="single" w:sz="4" w:space="0" w:color="000000"/>
              <w:right w:val="single" w:sz="4" w:space="0" w:color="auto"/>
            </w:tcBorders>
            <w:vAlign w:val="center"/>
            <w:hideMark/>
          </w:tcPr>
          <w:p w:rsidR="00BB1F00" w:rsidRPr="00372D53" w:rsidRDefault="00BB1F00" w:rsidP="0071589F">
            <w:pPr>
              <w:pStyle w:val="MDPI42tablebody"/>
              <w:rPr>
                <w:sz w:val="16"/>
                <w:szCs w:val="16"/>
              </w:rPr>
            </w:pPr>
          </w:p>
        </w:tc>
        <w:tc>
          <w:tcPr>
            <w:tcW w:w="1985" w:type="dxa"/>
            <w:vMerge/>
            <w:tcBorders>
              <w:top w:val="single" w:sz="4" w:space="0" w:color="auto"/>
              <w:left w:val="single" w:sz="4" w:space="0" w:color="auto"/>
              <w:bottom w:val="nil"/>
              <w:right w:val="single" w:sz="4" w:space="0" w:color="auto"/>
            </w:tcBorders>
            <w:vAlign w:val="center"/>
            <w:hideMark/>
          </w:tcPr>
          <w:p w:rsidR="00BB1F00" w:rsidRPr="00372D53" w:rsidRDefault="00BB1F00" w:rsidP="0071589F">
            <w:pPr>
              <w:pStyle w:val="MDPI42tablebody"/>
              <w:rPr>
                <w:sz w:val="16"/>
                <w:szCs w:val="16"/>
              </w:rPr>
            </w:pPr>
          </w:p>
        </w:tc>
        <w:tc>
          <w:tcPr>
            <w:tcW w:w="3544" w:type="dxa"/>
            <w:tcBorders>
              <w:top w:val="single" w:sz="4" w:space="0" w:color="auto"/>
              <w:left w:val="nil"/>
              <w:bottom w:val="nil"/>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 xml:space="preserve">Water transportation emission coefficient is less than highway transportation's coefficient. </w:t>
            </w:r>
          </w:p>
        </w:tc>
        <w:tc>
          <w:tcPr>
            <w:tcW w:w="2693"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TRANSFERRING VOLUME TYPE SHOCK: A 10% transfer shock in exogenous accounts from highway transportation to water tra</w:t>
            </w:r>
            <w:r w:rsidR="006D3C67" w:rsidRPr="00372D53">
              <w:rPr>
                <w:sz w:val="16"/>
                <w:szCs w:val="16"/>
              </w:rPr>
              <w:t>n</w:t>
            </w:r>
            <w:r w:rsidRPr="00372D53">
              <w:rPr>
                <w:sz w:val="16"/>
                <w:szCs w:val="16"/>
              </w:rPr>
              <w:t>sportation.</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EMIS11</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-0.30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0.08</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0.02</w:t>
            </w:r>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0.02</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0.02</w:t>
            </w:r>
          </w:p>
        </w:tc>
      </w:tr>
      <w:tr w:rsidR="0071589F" w:rsidRPr="00372D53" w:rsidTr="0071589F">
        <w:tc>
          <w:tcPr>
            <w:tcW w:w="675" w:type="dxa"/>
            <w:vMerge/>
            <w:tcBorders>
              <w:top w:val="single" w:sz="4" w:space="0" w:color="auto"/>
              <w:left w:val="single" w:sz="4" w:space="0" w:color="auto"/>
              <w:bottom w:val="single" w:sz="4" w:space="0" w:color="000000"/>
              <w:right w:val="single" w:sz="4" w:space="0" w:color="auto"/>
            </w:tcBorders>
            <w:vAlign w:val="center"/>
            <w:hideMark/>
          </w:tcPr>
          <w:p w:rsidR="00BB1F00" w:rsidRPr="00372D53" w:rsidRDefault="00BB1F00" w:rsidP="0071589F">
            <w:pPr>
              <w:pStyle w:val="MDPI42tablebody"/>
              <w:rPr>
                <w:sz w:val="16"/>
                <w:szCs w:val="16"/>
              </w:rPr>
            </w:pPr>
          </w:p>
        </w:tc>
        <w:tc>
          <w:tcPr>
            <w:tcW w:w="1985" w:type="dxa"/>
            <w:tcBorders>
              <w:top w:val="single" w:sz="4" w:space="0" w:color="auto"/>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Direct people to public transportation and increase efficiency by applying sustainable transport solutions in highway transportation</w:t>
            </w:r>
          </w:p>
        </w:tc>
        <w:tc>
          <w:tcPr>
            <w:tcW w:w="3544" w:type="dxa"/>
            <w:tcBorders>
              <w:top w:val="single" w:sz="4" w:space="0" w:color="auto"/>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Inciting people to use more public transport and decreasing personal vehicle demand by th</w:t>
            </w:r>
            <w:r w:rsidR="006D3C67" w:rsidRPr="00372D53">
              <w:rPr>
                <w:sz w:val="16"/>
                <w:szCs w:val="16"/>
              </w:rPr>
              <w:t>e way; putting sustainable trans</w:t>
            </w:r>
            <w:r w:rsidRPr="00372D53">
              <w:rPr>
                <w:sz w:val="16"/>
                <w:szCs w:val="16"/>
              </w:rPr>
              <w:t>port solutions (tunnel construction, intelligent transport systems, scraping of old vehicles from traffic, e</w:t>
            </w:r>
            <w:r w:rsidR="006D3C67" w:rsidRPr="00372D53">
              <w:rPr>
                <w:sz w:val="16"/>
                <w:szCs w:val="16"/>
              </w:rPr>
              <w:t>asing transfers among modes, etc</w:t>
            </w:r>
            <w:r w:rsidRPr="00372D53">
              <w:rPr>
                <w:sz w:val="16"/>
                <w:szCs w:val="16"/>
              </w:rPr>
              <w:t xml:space="preserve">.) into practice can decrease highway transportation. </w:t>
            </w:r>
          </w:p>
        </w:tc>
        <w:tc>
          <w:tcPr>
            <w:tcW w:w="2693"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INCREASING EFFICIENCY TYPE SHOCK: A 10% decrease shock in exogenous accounts in highway transportation.</w:t>
            </w:r>
          </w:p>
        </w:tc>
        <w:tc>
          <w:tcPr>
            <w:tcW w:w="709" w:type="dxa"/>
            <w:tcBorders>
              <w:top w:val="nil"/>
              <w:left w:val="nil"/>
              <w:bottom w:val="single" w:sz="4" w:space="0" w:color="auto"/>
              <w:right w:val="single" w:sz="4" w:space="0" w:color="auto"/>
            </w:tcBorders>
            <w:shd w:val="clear" w:color="auto" w:fill="auto"/>
            <w:hideMark/>
          </w:tcPr>
          <w:p w:rsidR="00BB1F00" w:rsidRPr="00372D53" w:rsidRDefault="00BB1F00" w:rsidP="0071589F">
            <w:pPr>
              <w:pStyle w:val="MDPI42tablebody"/>
              <w:rPr>
                <w:sz w:val="16"/>
                <w:szCs w:val="16"/>
              </w:rPr>
            </w:pPr>
            <w:r w:rsidRPr="00372D53">
              <w:rPr>
                <w:sz w:val="16"/>
                <w:szCs w:val="16"/>
              </w:rPr>
              <w:t>EMIS12</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-0.90</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proofErr w:type="spellStart"/>
            <w:r w:rsidRPr="00372D53">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proofErr w:type="spellStart"/>
            <w:r w:rsidRPr="00372D53">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proofErr w:type="spellStart"/>
            <w:r w:rsidRPr="00372D53">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-0.41</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372D53" w:rsidRDefault="00BB1F00" w:rsidP="0071589F">
            <w:pPr>
              <w:pStyle w:val="MDPI42tablebody"/>
              <w:rPr>
                <w:sz w:val="16"/>
                <w:szCs w:val="16"/>
              </w:rPr>
            </w:pPr>
            <w:r w:rsidRPr="00372D53">
              <w:rPr>
                <w:sz w:val="16"/>
                <w:szCs w:val="16"/>
              </w:rPr>
              <w:t>-0.50</w:t>
            </w:r>
          </w:p>
        </w:tc>
      </w:tr>
    </w:tbl>
    <w:p w:rsidR="00BB1F00" w:rsidRDefault="00BB1F00">
      <w:pPr>
        <w:rPr>
          <w:rFonts w:ascii="Arial" w:hAnsi="Arial" w:cs="Arial"/>
          <w:sz w:val="24"/>
          <w:szCs w:val="24"/>
        </w:rPr>
      </w:pPr>
    </w:p>
    <w:p w:rsidR="00BB1F00" w:rsidRDefault="00BB1F00">
      <w:pPr>
        <w:rPr>
          <w:rFonts w:ascii="Arial" w:hAnsi="Arial" w:cs="Arial"/>
          <w:sz w:val="24"/>
          <w:szCs w:val="24"/>
        </w:rPr>
      </w:pPr>
      <w:r>
        <w:rPr>
          <w:rFonts w:ascii="Arial" w:hAnsi="Arial" w:cs="Arial"/>
          <w:sz w:val="24"/>
          <w:szCs w:val="24"/>
        </w:rPr>
        <w:br w:type="page"/>
      </w:r>
    </w:p>
    <w:tbl>
      <w:tblPr>
        <w:tblpPr w:leftFromText="180" w:rightFromText="180" w:vertAnchor="text" w:tblpX="45" w:tblpY="1"/>
        <w:tblOverlap w:val="never"/>
        <w:tblW w:w="0" w:type="auto"/>
        <w:tblLayout w:type="fixed"/>
        <w:tblLook w:val="04A0" w:firstRow="1" w:lastRow="0" w:firstColumn="1" w:lastColumn="0" w:noHBand="0" w:noVBand="1"/>
      </w:tblPr>
      <w:tblGrid>
        <w:gridCol w:w="675"/>
        <w:gridCol w:w="1911"/>
        <w:gridCol w:w="3544"/>
        <w:gridCol w:w="2693"/>
        <w:gridCol w:w="709"/>
        <w:gridCol w:w="850"/>
        <w:gridCol w:w="709"/>
        <w:gridCol w:w="709"/>
        <w:gridCol w:w="709"/>
        <w:gridCol w:w="708"/>
        <w:gridCol w:w="709"/>
      </w:tblGrid>
      <w:tr w:rsidR="00BB1F00" w:rsidRPr="0071589F" w:rsidTr="0071589F">
        <w:tc>
          <w:tcPr>
            <w:tcW w:w="13926" w:type="dxa"/>
            <w:gridSpan w:val="11"/>
            <w:tcBorders>
              <w:top w:val="single" w:sz="4" w:space="0" w:color="auto"/>
              <w:left w:val="single" w:sz="4" w:space="0" w:color="auto"/>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lastRenderedPageBreak/>
              <w:t>Emission decreasing simulations (continues)</w:t>
            </w:r>
          </w:p>
        </w:tc>
      </w:tr>
      <w:tr w:rsidR="0071589F" w:rsidRPr="0071589F" w:rsidTr="0071589F">
        <w:tc>
          <w:tcPr>
            <w:tcW w:w="675" w:type="dxa"/>
            <w:tcBorders>
              <w:top w:val="nil"/>
              <w:left w:val="single" w:sz="4" w:space="0" w:color="auto"/>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Sector</w:t>
            </w:r>
          </w:p>
        </w:tc>
        <w:tc>
          <w:tcPr>
            <w:tcW w:w="1911"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 xml:space="preserve">Change in </w:t>
            </w:r>
            <w:proofErr w:type="spellStart"/>
            <w:r w:rsidRPr="0071589F">
              <w:rPr>
                <w:sz w:val="16"/>
                <w:szCs w:val="16"/>
              </w:rPr>
              <w:t>gdp</w:t>
            </w:r>
            <w:proofErr w:type="spellEnd"/>
            <w:r w:rsidRPr="0071589F">
              <w:rPr>
                <w:sz w:val="16"/>
                <w:szCs w:val="16"/>
              </w:rPr>
              <w:t xml:space="preserve"> (%)</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Change in output (%)</w:t>
            </w:r>
          </w:p>
        </w:tc>
        <w:tc>
          <w:tcPr>
            <w:tcW w:w="708"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Change in hard coal use (%)</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Change in lignite use (%)</w:t>
            </w:r>
          </w:p>
        </w:tc>
      </w:tr>
      <w:tr w:rsidR="0071589F" w:rsidRPr="0071589F" w:rsidTr="0071589F">
        <w:tc>
          <w:tcPr>
            <w:tcW w:w="675" w:type="dxa"/>
            <w:tcBorders>
              <w:top w:val="nil"/>
              <w:left w:val="single" w:sz="4" w:space="0" w:color="auto"/>
              <w:bottom w:val="nil"/>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WASTE</w:t>
            </w:r>
          </w:p>
        </w:tc>
        <w:tc>
          <w:tcPr>
            <w:tcW w:w="1911" w:type="dxa"/>
            <w:tcBorders>
              <w:top w:val="nil"/>
              <w:left w:val="nil"/>
              <w:bottom w:val="nil"/>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Manage waste sector more efficiently</w:t>
            </w:r>
          </w:p>
        </w:tc>
        <w:tc>
          <w:tcPr>
            <w:tcW w:w="3544" w:type="dxa"/>
            <w:tcBorders>
              <w:top w:val="nil"/>
              <w:left w:val="nil"/>
              <w:bottom w:val="nil"/>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 xml:space="preserve">Changing consumer </w:t>
            </w:r>
            <w:proofErr w:type="spellStart"/>
            <w:r w:rsidRPr="0071589F">
              <w:rPr>
                <w:sz w:val="16"/>
                <w:szCs w:val="16"/>
              </w:rPr>
              <w:t>behav</w:t>
            </w:r>
            <w:r w:rsidR="006D3C67" w:rsidRPr="0071589F">
              <w:rPr>
                <w:sz w:val="16"/>
                <w:szCs w:val="16"/>
              </w:rPr>
              <w:t>iours</w:t>
            </w:r>
            <w:proofErr w:type="spellEnd"/>
            <w:r w:rsidR="006D3C67" w:rsidRPr="0071589F">
              <w:rPr>
                <w:sz w:val="16"/>
                <w:szCs w:val="16"/>
              </w:rPr>
              <w:t>, enhancing recycling, sepa</w:t>
            </w:r>
            <w:r w:rsidRPr="0071589F">
              <w:rPr>
                <w:sz w:val="16"/>
                <w:szCs w:val="16"/>
              </w:rPr>
              <w:t>rating bio</w:t>
            </w:r>
            <w:r w:rsidR="006D3C67" w:rsidRPr="0071589F">
              <w:rPr>
                <w:sz w:val="16"/>
                <w:szCs w:val="16"/>
              </w:rPr>
              <w:t>degrada</w:t>
            </w:r>
            <w:r w:rsidRPr="0071589F">
              <w:rPr>
                <w:sz w:val="16"/>
                <w:szCs w:val="16"/>
              </w:rPr>
              <w:t>ble waste and reducing its amount a</w:t>
            </w:r>
            <w:r w:rsidR="006D3C67" w:rsidRPr="0071589F">
              <w:rPr>
                <w:sz w:val="16"/>
                <w:szCs w:val="16"/>
              </w:rPr>
              <w:t>dmitted to landfill sites, incen</w:t>
            </w:r>
            <w:r w:rsidRPr="0071589F">
              <w:rPr>
                <w:sz w:val="16"/>
                <w:szCs w:val="16"/>
              </w:rPr>
              <w:t>tives to indu</w:t>
            </w:r>
            <w:r w:rsidR="006D3C67" w:rsidRPr="0071589F">
              <w:rPr>
                <w:sz w:val="16"/>
                <w:szCs w:val="16"/>
              </w:rPr>
              <w:t>stries for use of biodegra</w:t>
            </w:r>
            <w:r w:rsidRPr="0071589F">
              <w:rPr>
                <w:sz w:val="16"/>
                <w:szCs w:val="16"/>
              </w:rPr>
              <w:t>dable pac</w:t>
            </w:r>
            <w:r w:rsidR="006D3C67" w:rsidRPr="0071589F">
              <w:rPr>
                <w:sz w:val="16"/>
                <w:szCs w:val="16"/>
              </w:rPr>
              <w:t>kaging are viable policies to implement</w:t>
            </w:r>
            <w:r w:rsidRPr="0071589F">
              <w:rPr>
                <w:sz w:val="16"/>
                <w:szCs w:val="16"/>
              </w:rPr>
              <w:t xml:space="preserve">. </w:t>
            </w:r>
          </w:p>
        </w:tc>
        <w:tc>
          <w:tcPr>
            <w:tcW w:w="2693"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INCREASING EFFICIENCY TYPE SHOCK: A 10% decrease shock in exogenous accounts in waste sector.</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EMIS13</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-0.05</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-0.02</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-0.02</w:t>
            </w:r>
          </w:p>
        </w:tc>
      </w:tr>
      <w:tr w:rsidR="0071589F" w:rsidRPr="0071589F" w:rsidTr="0071589F">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AGRICULTURE</w:t>
            </w:r>
          </w:p>
        </w:tc>
        <w:tc>
          <w:tcPr>
            <w:tcW w:w="1911" w:type="dxa"/>
            <w:tcBorders>
              <w:top w:val="single" w:sz="4" w:space="0" w:color="auto"/>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 xml:space="preserve">Increase efficiency </w:t>
            </w:r>
          </w:p>
        </w:tc>
        <w:tc>
          <w:tcPr>
            <w:tcW w:w="3544" w:type="dxa"/>
            <w:tcBorders>
              <w:top w:val="single" w:sz="4" w:space="0" w:color="auto"/>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Fuel saving by land consolidation, avoiding excess use of fertilizers, implementing modern agricultural prac</w:t>
            </w:r>
            <w:r w:rsidR="006D3C67" w:rsidRPr="0071589F">
              <w:rPr>
                <w:sz w:val="16"/>
                <w:szCs w:val="16"/>
              </w:rPr>
              <w:t>tices are viable policies to implement</w:t>
            </w:r>
            <w:r w:rsidRPr="0071589F">
              <w:rPr>
                <w:sz w:val="16"/>
                <w:szCs w:val="16"/>
              </w:rPr>
              <w:t xml:space="preserve">. </w:t>
            </w:r>
          </w:p>
        </w:tc>
        <w:tc>
          <w:tcPr>
            <w:tcW w:w="2693"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INCREASING EFFICIENCY TYPE SHOCK: A 10% decrease shock in exogenous accounts in agriculture sector.</w:t>
            </w:r>
          </w:p>
        </w:tc>
        <w:tc>
          <w:tcPr>
            <w:tcW w:w="709" w:type="dxa"/>
            <w:tcBorders>
              <w:top w:val="nil"/>
              <w:left w:val="nil"/>
              <w:bottom w:val="single" w:sz="4" w:space="0" w:color="auto"/>
              <w:right w:val="single" w:sz="4" w:space="0" w:color="auto"/>
            </w:tcBorders>
            <w:shd w:val="clear" w:color="auto" w:fill="auto"/>
            <w:hideMark/>
          </w:tcPr>
          <w:p w:rsidR="00BB1F00" w:rsidRPr="0071589F" w:rsidRDefault="00BB1F00" w:rsidP="0071589F">
            <w:pPr>
              <w:pStyle w:val="MDPI42tablebody"/>
              <w:rPr>
                <w:sz w:val="16"/>
                <w:szCs w:val="16"/>
              </w:rPr>
            </w:pPr>
            <w:r w:rsidRPr="0071589F">
              <w:rPr>
                <w:sz w:val="16"/>
                <w:szCs w:val="16"/>
              </w:rPr>
              <w:t>EMIS14</w:t>
            </w:r>
          </w:p>
        </w:tc>
        <w:tc>
          <w:tcPr>
            <w:tcW w:w="850"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-0.76</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proofErr w:type="spellStart"/>
            <w:r w:rsidRPr="0071589F">
              <w:rPr>
                <w:sz w:val="16"/>
                <w:szCs w:val="16"/>
              </w:rPr>
              <w:t>na</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-0.38</w:t>
            </w:r>
          </w:p>
        </w:tc>
        <w:tc>
          <w:tcPr>
            <w:tcW w:w="709" w:type="dxa"/>
            <w:tcBorders>
              <w:top w:val="nil"/>
              <w:left w:val="nil"/>
              <w:bottom w:val="single" w:sz="4" w:space="0" w:color="auto"/>
              <w:right w:val="single" w:sz="4" w:space="0" w:color="auto"/>
            </w:tcBorders>
            <w:shd w:val="clear" w:color="auto" w:fill="auto"/>
            <w:noWrap/>
            <w:vAlign w:val="bottom"/>
            <w:hideMark/>
          </w:tcPr>
          <w:p w:rsidR="00BB1F00" w:rsidRPr="0071589F" w:rsidRDefault="00BB1F00" w:rsidP="0071589F">
            <w:pPr>
              <w:pStyle w:val="MDPI42tablebody"/>
              <w:rPr>
                <w:sz w:val="16"/>
                <w:szCs w:val="16"/>
              </w:rPr>
            </w:pPr>
            <w:r w:rsidRPr="0071589F">
              <w:rPr>
                <w:sz w:val="16"/>
                <w:szCs w:val="16"/>
              </w:rPr>
              <w:t>-0.45</w:t>
            </w:r>
          </w:p>
        </w:tc>
      </w:tr>
    </w:tbl>
    <w:p w:rsidR="00BB1F00" w:rsidRDefault="00BB1F00">
      <w:pPr>
        <w:rPr>
          <w:rFonts w:ascii="Arial" w:hAnsi="Arial" w:cs="Arial"/>
          <w:sz w:val="24"/>
          <w:szCs w:val="24"/>
        </w:rPr>
      </w:pPr>
    </w:p>
    <w:p w:rsidR="00BB1F00" w:rsidRDefault="00BB1F00">
      <w:pPr>
        <w:rPr>
          <w:rFonts w:ascii="Arial" w:hAnsi="Arial" w:cs="Arial"/>
          <w:sz w:val="24"/>
          <w:szCs w:val="24"/>
        </w:rPr>
      </w:pPr>
    </w:p>
    <w:p w:rsidR="00BB1F00" w:rsidRDefault="00BB1F00">
      <w:pPr>
        <w:rPr>
          <w:rFonts w:ascii="Arial" w:hAnsi="Arial" w:cs="Arial"/>
          <w:sz w:val="24"/>
          <w:szCs w:val="24"/>
        </w:rPr>
      </w:pPr>
      <w:r>
        <w:rPr>
          <w:rFonts w:ascii="Arial" w:hAnsi="Arial" w:cs="Arial"/>
          <w:sz w:val="24"/>
          <w:szCs w:val="24"/>
        </w:rPr>
        <w:br w:type="page"/>
      </w:r>
    </w:p>
    <w:tbl>
      <w:tblPr>
        <w:tblpPr w:leftFromText="181" w:rightFromText="181" w:vertAnchor="text" w:tblpY="1"/>
        <w:tblW w:w="13992" w:type="dxa"/>
        <w:tblLayout w:type="fixed"/>
        <w:tblLook w:val="04A0" w:firstRow="1" w:lastRow="0" w:firstColumn="1" w:lastColumn="0" w:noHBand="0" w:noVBand="1"/>
      </w:tblPr>
      <w:tblGrid>
        <w:gridCol w:w="675"/>
        <w:gridCol w:w="1985"/>
        <w:gridCol w:w="3544"/>
        <w:gridCol w:w="2693"/>
        <w:gridCol w:w="709"/>
        <w:gridCol w:w="850"/>
        <w:gridCol w:w="709"/>
        <w:gridCol w:w="709"/>
        <w:gridCol w:w="708"/>
        <w:gridCol w:w="709"/>
        <w:gridCol w:w="701"/>
      </w:tblGrid>
      <w:tr w:rsidR="00082B28" w:rsidRPr="0071589F" w:rsidTr="00CD0F54">
        <w:trPr>
          <w:cantSplit/>
        </w:trPr>
        <w:tc>
          <w:tcPr>
            <w:tcW w:w="13992" w:type="dxa"/>
            <w:gridSpan w:val="11"/>
            <w:tcBorders>
              <w:top w:val="single" w:sz="4" w:space="0" w:color="auto"/>
              <w:left w:val="single" w:sz="4" w:space="0" w:color="auto"/>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lastRenderedPageBreak/>
              <w:t>Developmental simulations (output multiplier)</w:t>
            </w:r>
          </w:p>
        </w:tc>
      </w:tr>
      <w:tr w:rsidR="00CD0F54" w:rsidRPr="0071589F" w:rsidTr="00CD0F54">
        <w:trPr>
          <w:cantSplit/>
        </w:trPr>
        <w:tc>
          <w:tcPr>
            <w:tcW w:w="675" w:type="dxa"/>
            <w:tcBorders>
              <w:top w:val="nil"/>
              <w:left w:val="single" w:sz="4" w:space="0" w:color="auto"/>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Sector</w:t>
            </w:r>
          </w:p>
        </w:tc>
        <w:tc>
          <w:tcPr>
            <w:tcW w:w="1985"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 xml:space="preserve">Change in </w:t>
            </w:r>
            <w:proofErr w:type="spellStart"/>
            <w:r w:rsidRPr="0071589F">
              <w:rPr>
                <w:sz w:val="16"/>
                <w:szCs w:val="16"/>
              </w:rPr>
              <w:t>gdp</w:t>
            </w:r>
            <w:proofErr w:type="spellEnd"/>
            <w:r w:rsidRPr="0071589F">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Change in hard coal use (%)</w:t>
            </w:r>
          </w:p>
        </w:tc>
        <w:tc>
          <w:tcPr>
            <w:tcW w:w="701"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Change in lignite use (%)</w:t>
            </w:r>
          </w:p>
        </w:tc>
      </w:tr>
      <w:tr w:rsidR="00CD0F54" w:rsidRPr="0071589F" w:rsidTr="00CD0F54">
        <w:trPr>
          <w:cantSplit/>
          <w:trHeight w:val="1138"/>
        </w:trPr>
        <w:tc>
          <w:tcPr>
            <w:tcW w:w="675" w:type="dxa"/>
            <w:tcBorders>
              <w:top w:val="nil"/>
              <w:left w:val="single" w:sz="4" w:space="0" w:color="auto"/>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ENERGY</w:t>
            </w:r>
          </w:p>
        </w:tc>
        <w:tc>
          <w:tcPr>
            <w:tcW w:w="1985"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Increase efficiency in electricity use</w:t>
            </w:r>
          </w:p>
        </w:tc>
        <w:tc>
          <w:tcPr>
            <w:tcW w:w="3544"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 xml:space="preserve">Raising efficiency can be realized by improvement in technology: using same amount of input but obtaining more output. Increased output can be bought by government or can be exported. </w:t>
            </w:r>
          </w:p>
        </w:tc>
        <w:tc>
          <w:tcPr>
            <w:tcW w:w="2693"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INCREASING EFFICIENCY TYPE SHOCK: A 10% increase shock in exogenous final demand accounts of all electric</w:t>
            </w:r>
            <w:r w:rsidR="006D3C67" w:rsidRPr="0071589F">
              <w:rPr>
                <w:sz w:val="16"/>
                <w:szCs w:val="16"/>
              </w:rPr>
              <w:t>i</w:t>
            </w:r>
            <w:r w:rsidRPr="0071589F">
              <w:rPr>
                <w:sz w:val="16"/>
                <w:szCs w:val="16"/>
              </w:rPr>
              <w:t>ty producing sectors.</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OUT01</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0.10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0.12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0.16</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1"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r>
      <w:tr w:rsidR="00CD0F54" w:rsidRPr="0071589F" w:rsidTr="00CD0F54">
        <w:trPr>
          <w:cantSplit/>
        </w:trPr>
        <w:tc>
          <w:tcPr>
            <w:tcW w:w="675" w:type="dxa"/>
            <w:vMerge w:val="restart"/>
            <w:tcBorders>
              <w:top w:val="nil"/>
              <w:left w:val="single" w:sz="4" w:space="0" w:color="auto"/>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INDUSTRY</w:t>
            </w:r>
          </w:p>
        </w:tc>
        <w:tc>
          <w:tcPr>
            <w:tcW w:w="1985"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Direct economy to high output sectors</w:t>
            </w:r>
          </w:p>
        </w:tc>
        <w:tc>
          <w:tcPr>
            <w:tcW w:w="3544" w:type="dxa"/>
            <w:tcBorders>
              <w:top w:val="nil"/>
              <w:left w:val="nil"/>
              <w:bottom w:val="single" w:sz="4" w:space="0" w:color="auto"/>
              <w:right w:val="single" w:sz="4" w:space="0" w:color="auto"/>
            </w:tcBorders>
            <w:shd w:val="clear" w:color="auto" w:fill="auto"/>
            <w:hideMark/>
          </w:tcPr>
          <w:p w:rsidR="00082B28" w:rsidRPr="0071589F" w:rsidRDefault="006D3C67" w:rsidP="00CD0F54">
            <w:pPr>
              <w:pStyle w:val="MDPI42tablebody"/>
              <w:rPr>
                <w:sz w:val="16"/>
                <w:szCs w:val="16"/>
              </w:rPr>
            </w:pPr>
            <w:r w:rsidRPr="0071589F">
              <w:rPr>
                <w:sz w:val="16"/>
                <w:szCs w:val="16"/>
              </w:rPr>
              <w:t>Although</w:t>
            </w:r>
            <w:r w:rsidR="00082B28" w:rsidRPr="0071589F">
              <w:rPr>
                <w:sz w:val="16"/>
                <w:szCs w:val="16"/>
              </w:rPr>
              <w:t xml:space="preserve"> substitutability among the goods of the sectors is very low or zero; domestic demands in the sectors that outputs are decreased are assumed to be met by import, supply excesses in the sectors that outputs are increased are assumed to be absorbed by rest of world, by export. Transfer amounts are determined over exo</w:t>
            </w:r>
            <w:r w:rsidRPr="0071589F">
              <w:rPr>
                <w:sz w:val="16"/>
                <w:szCs w:val="16"/>
              </w:rPr>
              <w:t xml:space="preserve">genous final demand amounts of </w:t>
            </w:r>
            <w:r w:rsidR="00082B28" w:rsidRPr="0071589F">
              <w:rPr>
                <w:sz w:val="16"/>
                <w:szCs w:val="16"/>
              </w:rPr>
              <w:t>chemistry, metal, indust</w:t>
            </w:r>
            <w:r w:rsidRPr="0071589F">
              <w:rPr>
                <w:sz w:val="16"/>
                <w:szCs w:val="16"/>
              </w:rPr>
              <w:t>ry sectors. This total is transferred</w:t>
            </w:r>
            <w:r w:rsidR="00082B28" w:rsidRPr="0071589F">
              <w:rPr>
                <w:sz w:val="16"/>
                <w:szCs w:val="16"/>
              </w:rPr>
              <w:t xml:space="preserve"> to service, mineral, and food sectors according to their shares.</w:t>
            </w:r>
          </w:p>
        </w:tc>
        <w:tc>
          <w:tcPr>
            <w:tcW w:w="2693"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 xml:space="preserve">TRANSFERRING VOLUME TYPE SHOCK: A 10% transfer shock in exogenous final demand accounts from chemistry, metal, industry sectors to service, mineral, food sectors. </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OUT02</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0.68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2.23</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2.00</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0.78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-0.26</w:t>
            </w:r>
          </w:p>
        </w:tc>
        <w:tc>
          <w:tcPr>
            <w:tcW w:w="701"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0.94</w:t>
            </w:r>
          </w:p>
        </w:tc>
      </w:tr>
      <w:tr w:rsidR="00CD0F54" w:rsidRPr="0071589F" w:rsidTr="00CD0F54">
        <w:trPr>
          <w:cantSplit/>
        </w:trPr>
        <w:tc>
          <w:tcPr>
            <w:tcW w:w="675" w:type="dxa"/>
            <w:vMerge/>
            <w:tcBorders>
              <w:top w:val="nil"/>
              <w:left w:val="single" w:sz="4" w:space="0" w:color="auto"/>
              <w:bottom w:val="single" w:sz="4" w:space="0" w:color="auto"/>
              <w:right w:val="single" w:sz="4" w:space="0" w:color="auto"/>
            </w:tcBorders>
            <w:vAlign w:val="center"/>
            <w:hideMark/>
          </w:tcPr>
          <w:p w:rsidR="00082B28" w:rsidRPr="0071589F" w:rsidRDefault="00082B28" w:rsidP="00CD0F54">
            <w:pPr>
              <w:pStyle w:val="MDPI42tablebody"/>
              <w:rPr>
                <w:sz w:val="16"/>
                <w:szCs w:val="16"/>
              </w:rPr>
            </w:pPr>
          </w:p>
        </w:tc>
        <w:tc>
          <w:tcPr>
            <w:tcW w:w="1985"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Increase efficiency in high output sectors</w:t>
            </w:r>
          </w:p>
        </w:tc>
        <w:tc>
          <w:tcPr>
            <w:tcW w:w="3544"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INCREASING EFFICIENCY TYPE SHOCK: A 10% increase shock in exogenous final demand accounts of food, mineral, service sectors.</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OUT03</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6.47</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6.22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5.30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1"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r>
      <w:tr w:rsidR="00CD0F54" w:rsidRPr="0071589F" w:rsidTr="00CD0F54">
        <w:trPr>
          <w:cantSplit/>
        </w:trPr>
        <w:tc>
          <w:tcPr>
            <w:tcW w:w="675" w:type="dxa"/>
            <w:tcBorders>
              <w:top w:val="nil"/>
              <w:left w:val="single" w:sz="4" w:space="0" w:color="auto"/>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AGRICULTURE</w:t>
            </w:r>
          </w:p>
        </w:tc>
        <w:tc>
          <w:tcPr>
            <w:tcW w:w="1985"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 xml:space="preserve">Increase efficiency </w:t>
            </w:r>
          </w:p>
        </w:tc>
        <w:tc>
          <w:tcPr>
            <w:tcW w:w="3544"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INCREASING EFFICIENCY TYPE SHOCK: A 10% increase shock in exogenous final demand accounts of agriculture sector</w:t>
            </w:r>
          </w:p>
        </w:tc>
        <w:tc>
          <w:tcPr>
            <w:tcW w:w="709" w:type="dxa"/>
            <w:tcBorders>
              <w:top w:val="nil"/>
              <w:left w:val="nil"/>
              <w:bottom w:val="single" w:sz="4" w:space="0" w:color="auto"/>
              <w:right w:val="single" w:sz="4" w:space="0" w:color="auto"/>
            </w:tcBorders>
            <w:shd w:val="clear" w:color="auto" w:fill="auto"/>
            <w:hideMark/>
          </w:tcPr>
          <w:p w:rsidR="00082B28" w:rsidRPr="0071589F" w:rsidRDefault="00082B28" w:rsidP="00CD0F54">
            <w:pPr>
              <w:pStyle w:val="MDPI42tablebody"/>
              <w:rPr>
                <w:sz w:val="16"/>
                <w:szCs w:val="16"/>
              </w:rPr>
            </w:pPr>
            <w:r w:rsidRPr="0071589F">
              <w:rPr>
                <w:sz w:val="16"/>
                <w:szCs w:val="16"/>
              </w:rPr>
              <w:t>OUT04</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0.38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0.61</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r w:rsidRPr="0071589F">
              <w:rPr>
                <w:sz w:val="16"/>
                <w:szCs w:val="16"/>
              </w:rPr>
              <w:t>0.50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c>
          <w:tcPr>
            <w:tcW w:w="701" w:type="dxa"/>
            <w:tcBorders>
              <w:top w:val="nil"/>
              <w:left w:val="nil"/>
              <w:bottom w:val="single" w:sz="4" w:space="0" w:color="auto"/>
              <w:right w:val="single" w:sz="4" w:space="0" w:color="auto"/>
            </w:tcBorders>
            <w:shd w:val="clear" w:color="auto" w:fill="auto"/>
            <w:noWrap/>
            <w:vAlign w:val="bottom"/>
            <w:hideMark/>
          </w:tcPr>
          <w:p w:rsidR="00082B28" w:rsidRPr="0071589F" w:rsidRDefault="00082B28" w:rsidP="00CD0F54">
            <w:pPr>
              <w:pStyle w:val="MDPI42tablebody"/>
              <w:rPr>
                <w:sz w:val="16"/>
                <w:szCs w:val="16"/>
              </w:rPr>
            </w:pPr>
            <w:proofErr w:type="spellStart"/>
            <w:r w:rsidRPr="0071589F">
              <w:rPr>
                <w:sz w:val="16"/>
                <w:szCs w:val="16"/>
              </w:rPr>
              <w:t>na</w:t>
            </w:r>
            <w:proofErr w:type="spellEnd"/>
          </w:p>
        </w:tc>
      </w:tr>
    </w:tbl>
    <w:p w:rsidR="00082B28" w:rsidRDefault="00082B28">
      <w:pPr>
        <w:rPr>
          <w:rFonts w:ascii="Arial" w:hAnsi="Arial" w:cs="Arial"/>
          <w:sz w:val="24"/>
          <w:szCs w:val="24"/>
        </w:rPr>
      </w:pPr>
    </w:p>
    <w:p w:rsidR="00082B28" w:rsidRDefault="00082B28">
      <w:pPr>
        <w:rPr>
          <w:rFonts w:ascii="Arial" w:hAnsi="Arial" w:cs="Arial"/>
          <w:sz w:val="24"/>
          <w:szCs w:val="24"/>
        </w:rPr>
      </w:pPr>
      <w:r>
        <w:rPr>
          <w:rFonts w:ascii="Arial" w:hAnsi="Arial" w:cs="Arial"/>
          <w:sz w:val="24"/>
          <w:szCs w:val="24"/>
        </w:rPr>
        <w:br w:type="page"/>
      </w:r>
    </w:p>
    <w:tbl>
      <w:tblPr>
        <w:tblW w:w="14034" w:type="dxa"/>
        <w:tblInd w:w="-34" w:type="dxa"/>
        <w:tblLayout w:type="fixed"/>
        <w:tblLook w:val="04A0" w:firstRow="1" w:lastRow="0" w:firstColumn="1" w:lastColumn="0" w:noHBand="0" w:noVBand="1"/>
      </w:tblPr>
      <w:tblGrid>
        <w:gridCol w:w="709"/>
        <w:gridCol w:w="1985"/>
        <w:gridCol w:w="3544"/>
        <w:gridCol w:w="2693"/>
        <w:gridCol w:w="709"/>
        <w:gridCol w:w="850"/>
        <w:gridCol w:w="709"/>
        <w:gridCol w:w="709"/>
        <w:gridCol w:w="708"/>
        <w:gridCol w:w="709"/>
        <w:gridCol w:w="709"/>
      </w:tblGrid>
      <w:tr w:rsidR="00082B28" w:rsidRPr="00CD0F54" w:rsidTr="00CD0F54">
        <w:trPr>
          <w:trHeight w:val="315"/>
        </w:trPr>
        <w:tc>
          <w:tcPr>
            <w:tcW w:w="14034" w:type="dxa"/>
            <w:gridSpan w:val="11"/>
            <w:tcBorders>
              <w:top w:val="single" w:sz="4" w:space="0" w:color="auto"/>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lastRenderedPageBreak/>
              <w:t>Employment increasing simulations (employment multiplier)</w:t>
            </w:r>
          </w:p>
        </w:tc>
      </w:tr>
      <w:tr w:rsidR="00082B28" w:rsidRPr="00CD0F54" w:rsidTr="00CD0F54">
        <w:trPr>
          <w:trHeight w:val="1050"/>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Sector</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Change in </w:t>
            </w:r>
            <w:proofErr w:type="spellStart"/>
            <w:r w:rsidRPr="00CD0F54">
              <w:rPr>
                <w:sz w:val="16"/>
                <w:szCs w:val="16"/>
              </w:rPr>
              <w:t>gdp</w:t>
            </w:r>
            <w:proofErr w:type="spellEnd"/>
            <w:r w:rsidRPr="00CD0F54">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hard coal use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lignite use (%)</w:t>
            </w:r>
          </w:p>
        </w:tc>
      </w:tr>
      <w:tr w:rsidR="00082B28" w:rsidRPr="00CD0F54" w:rsidTr="00CD0F54">
        <w:trPr>
          <w:trHeight w:val="1410"/>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ENERGY</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Increase efficiency in electricity production </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Raising efficiency can be realized by improvement in technology: using same amount of input but obtaining more output. Increased output can be bought by government or can be exported. </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all electric</w:t>
            </w:r>
            <w:r w:rsidR="006D3C67" w:rsidRPr="00CD0F54">
              <w:rPr>
                <w:sz w:val="16"/>
                <w:szCs w:val="16"/>
              </w:rPr>
              <w:t>i</w:t>
            </w:r>
            <w:r w:rsidRPr="00CD0F54">
              <w:rPr>
                <w:sz w:val="16"/>
                <w:szCs w:val="16"/>
              </w:rPr>
              <w:t>ty producing sectors.</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EMP01</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0.16</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r w:rsidR="00082B28" w:rsidRPr="00CD0F54" w:rsidTr="00CD0F54">
        <w:trPr>
          <w:trHeight w:val="2010"/>
        </w:trPr>
        <w:tc>
          <w:tcPr>
            <w:tcW w:w="709" w:type="dxa"/>
            <w:vMerge w:val="restart"/>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INDUSTRY</w:t>
            </w:r>
          </w:p>
        </w:tc>
        <w:tc>
          <w:tcPr>
            <w:tcW w:w="1985" w:type="dxa"/>
            <w:tcBorders>
              <w:top w:val="nil"/>
              <w:left w:val="nil"/>
              <w:bottom w:val="nil"/>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Direct economy to high output sectors</w:t>
            </w:r>
          </w:p>
        </w:tc>
        <w:tc>
          <w:tcPr>
            <w:tcW w:w="3544" w:type="dxa"/>
            <w:tcBorders>
              <w:top w:val="nil"/>
              <w:left w:val="nil"/>
              <w:bottom w:val="nil"/>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Alt</w:t>
            </w:r>
            <w:r w:rsidR="006D3C67" w:rsidRPr="00CD0F54">
              <w:rPr>
                <w:sz w:val="16"/>
                <w:szCs w:val="16"/>
              </w:rPr>
              <w:t>h</w:t>
            </w:r>
            <w:r w:rsidRPr="00CD0F54">
              <w:rPr>
                <w:sz w:val="16"/>
                <w:szCs w:val="16"/>
              </w:rPr>
              <w:t xml:space="preserve">ough substitution between goods of the sectors subject to transfer is very low or zero; domestic demands in the sectors of which outputs are decreased are assumed to </w:t>
            </w:r>
            <w:r w:rsidR="006D3C67" w:rsidRPr="00CD0F54">
              <w:rPr>
                <w:sz w:val="16"/>
                <w:szCs w:val="16"/>
              </w:rPr>
              <w:t xml:space="preserve">be </w:t>
            </w:r>
            <w:r w:rsidRPr="00CD0F54">
              <w:rPr>
                <w:sz w:val="16"/>
                <w:szCs w:val="16"/>
              </w:rPr>
              <w:t>met by import, supply excesses in the sectors of which outputs are increased are assumed to absorbed by rest of world, by export. Transfer amounts are determined over exo</w:t>
            </w:r>
            <w:r w:rsidR="006D3C67" w:rsidRPr="00CD0F54">
              <w:rPr>
                <w:sz w:val="16"/>
                <w:szCs w:val="16"/>
              </w:rPr>
              <w:t>genous final demand amounts of chemistry and</w:t>
            </w:r>
            <w:r w:rsidRPr="00CD0F54">
              <w:rPr>
                <w:sz w:val="16"/>
                <w:szCs w:val="16"/>
              </w:rPr>
              <w:t xml:space="preserve"> metal sectors. This total is transfer</w:t>
            </w:r>
            <w:r w:rsidR="006D3C67" w:rsidRPr="00CD0F54">
              <w:rPr>
                <w:sz w:val="16"/>
                <w:szCs w:val="16"/>
              </w:rPr>
              <w:t>r</w:t>
            </w:r>
            <w:r w:rsidRPr="00CD0F54">
              <w:rPr>
                <w:sz w:val="16"/>
                <w:szCs w:val="16"/>
              </w:rPr>
              <w:t>ed to service, mineral, industry, and food sectors according to their shares.</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TRANSFERRING VOLUME TYPE SHOCK: A 10% transfer shock in exogenous final demand accounts from chemistry, metal sectors to service, mineral, food, industry sectors.</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EMP02</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0.08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0.34</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0.32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0.16</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-0.28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0.15</w:t>
            </w:r>
          </w:p>
        </w:tc>
      </w:tr>
      <w:tr w:rsidR="00082B28" w:rsidRPr="00CD0F54" w:rsidTr="00CD0F54">
        <w:trPr>
          <w:trHeight w:val="1050"/>
        </w:trPr>
        <w:tc>
          <w:tcPr>
            <w:tcW w:w="709" w:type="dxa"/>
            <w:vMerge/>
            <w:tcBorders>
              <w:top w:val="nil"/>
              <w:left w:val="single" w:sz="4" w:space="0" w:color="auto"/>
              <w:bottom w:val="single" w:sz="4" w:space="0" w:color="auto"/>
              <w:right w:val="single" w:sz="4" w:space="0" w:color="auto"/>
            </w:tcBorders>
            <w:vAlign w:val="center"/>
            <w:hideMark/>
          </w:tcPr>
          <w:p w:rsidR="00082B28" w:rsidRPr="00CD0F54" w:rsidRDefault="00082B28" w:rsidP="00CD0F54">
            <w:pPr>
              <w:pStyle w:val="MDPI42tablebody"/>
              <w:rPr>
                <w:sz w:val="16"/>
                <w:szCs w:val="16"/>
              </w:rPr>
            </w:pPr>
          </w:p>
        </w:tc>
        <w:tc>
          <w:tcPr>
            <w:tcW w:w="1985" w:type="dxa"/>
            <w:tcBorders>
              <w:top w:val="single" w:sz="4" w:space="0" w:color="auto"/>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Increase efficiency in high output sectors</w:t>
            </w:r>
          </w:p>
        </w:tc>
        <w:tc>
          <w:tcPr>
            <w:tcW w:w="3544" w:type="dxa"/>
            <w:tcBorders>
              <w:top w:val="single" w:sz="4" w:space="0" w:color="auto"/>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food, mineral, service, and industry sectors.</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EMP03</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9.23</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9.00</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8.42</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r w:rsidR="00082B28" w:rsidRPr="00CD0F54" w:rsidTr="00CD0F54">
        <w:trPr>
          <w:trHeight w:val="945"/>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AGRICULTURE</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Increase efficiency</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agriculture sector.</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EMP04</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0.38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0.61</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0.50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bl>
    <w:p w:rsidR="00082B28" w:rsidRDefault="00082B28">
      <w:pPr>
        <w:rPr>
          <w:rFonts w:ascii="Arial" w:hAnsi="Arial" w:cs="Arial"/>
          <w:sz w:val="24"/>
          <w:szCs w:val="24"/>
        </w:rPr>
      </w:pPr>
    </w:p>
    <w:p w:rsidR="00082B28" w:rsidRDefault="00082B28">
      <w:pPr>
        <w:rPr>
          <w:rFonts w:ascii="Arial" w:hAnsi="Arial" w:cs="Arial"/>
          <w:sz w:val="24"/>
          <w:szCs w:val="24"/>
        </w:rPr>
      </w:pPr>
    </w:p>
    <w:p w:rsidR="00082B28" w:rsidRDefault="00082B28">
      <w:pPr>
        <w:rPr>
          <w:rFonts w:ascii="Arial" w:hAnsi="Arial" w:cs="Arial"/>
          <w:sz w:val="24"/>
          <w:szCs w:val="24"/>
        </w:rPr>
      </w:pPr>
      <w:r>
        <w:rPr>
          <w:rFonts w:ascii="Arial" w:hAnsi="Arial" w:cs="Arial"/>
          <w:sz w:val="24"/>
          <w:szCs w:val="24"/>
        </w:rPr>
        <w:br w:type="page"/>
      </w:r>
    </w:p>
    <w:tbl>
      <w:tblPr>
        <w:tblW w:w="14047" w:type="dxa"/>
        <w:tblInd w:w="-34" w:type="dxa"/>
        <w:tblLayout w:type="fixed"/>
        <w:tblLook w:val="04A0" w:firstRow="1" w:lastRow="0" w:firstColumn="1" w:lastColumn="0" w:noHBand="0" w:noVBand="1"/>
      </w:tblPr>
      <w:tblGrid>
        <w:gridCol w:w="709"/>
        <w:gridCol w:w="1985"/>
        <w:gridCol w:w="3544"/>
        <w:gridCol w:w="2693"/>
        <w:gridCol w:w="709"/>
        <w:gridCol w:w="850"/>
        <w:gridCol w:w="709"/>
        <w:gridCol w:w="709"/>
        <w:gridCol w:w="708"/>
        <w:gridCol w:w="709"/>
        <w:gridCol w:w="722"/>
      </w:tblGrid>
      <w:tr w:rsidR="00082B28" w:rsidRPr="00CD0F54" w:rsidTr="001A704A">
        <w:trPr>
          <w:trHeight w:val="315"/>
        </w:trPr>
        <w:tc>
          <w:tcPr>
            <w:tcW w:w="14047" w:type="dxa"/>
            <w:gridSpan w:val="11"/>
            <w:tcBorders>
              <w:top w:val="single" w:sz="4" w:space="0" w:color="auto"/>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lastRenderedPageBreak/>
              <w:t>GDP increasing simulations (value added multiplier)</w:t>
            </w:r>
          </w:p>
        </w:tc>
      </w:tr>
      <w:tr w:rsidR="00082B28" w:rsidRPr="00CD0F54" w:rsidTr="001A704A">
        <w:trPr>
          <w:trHeight w:val="1050"/>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Sector</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Aim of policy to be implemented</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Explanation</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Policy for 2030</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Shock number</w:t>
            </w:r>
          </w:p>
        </w:tc>
        <w:tc>
          <w:tcPr>
            <w:tcW w:w="850"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of total greenhouse gas inventory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employment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Change in </w:t>
            </w:r>
            <w:proofErr w:type="spellStart"/>
            <w:r w:rsidRPr="00CD0F54">
              <w:rPr>
                <w:sz w:val="16"/>
                <w:szCs w:val="16"/>
              </w:rPr>
              <w:t>gdp</w:t>
            </w:r>
            <w:proofErr w:type="spellEnd"/>
            <w:r w:rsidRPr="00CD0F54">
              <w:rPr>
                <w:sz w:val="16"/>
                <w:szCs w:val="16"/>
              </w:rPr>
              <w:t xml:space="preserve"> (%)</w:t>
            </w:r>
          </w:p>
        </w:tc>
        <w:tc>
          <w:tcPr>
            <w:tcW w:w="708"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output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hard coal use (%)</w:t>
            </w:r>
          </w:p>
        </w:tc>
        <w:tc>
          <w:tcPr>
            <w:tcW w:w="722"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Change in lignite use (%)</w:t>
            </w:r>
          </w:p>
        </w:tc>
      </w:tr>
      <w:tr w:rsidR="00082B28" w:rsidRPr="00CD0F54" w:rsidTr="001A704A">
        <w:trPr>
          <w:trHeight w:val="1365"/>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ENERGY</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Increase efficiency in electricity production </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Raising efficiency can be realized by improvement in technology: using same amount of input but obtaining more output. Increased output can be bought by government or can be exported. </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all electric</w:t>
            </w:r>
            <w:r w:rsidR="006D3C67" w:rsidRPr="00CD0F54">
              <w:rPr>
                <w:sz w:val="16"/>
                <w:szCs w:val="16"/>
              </w:rPr>
              <w:t>i</w:t>
            </w:r>
            <w:r w:rsidRPr="00CD0F54">
              <w:rPr>
                <w:sz w:val="16"/>
                <w:szCs w:val="16"/>
              </w:rPr>
              <w:t>ty producing sectors.</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GDP01</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0.16</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22"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r w:rsidR="00082B28" w:rsidRPr="00CD0F54" w:rsidTr="001A704A">
        <w:trPr>
          <w:trHeight w:val="3150"/>
        </w:trPr>
        <w:tc>
          <w:tcPr>
            <w:tcW w:w="709" w:type="dxa"/>
            <w:vMerge w:val="restart"/>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INDUSTRY</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Direct economy to high output sectors</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Alt</w:t>
            </w:r>
            <w:r w:rsidR="006D3C67" w:rsidRPr="00CD0F54">
              <w:rPr>
                <w:sz w:val="16"/>
                <w:szCs w:val="16"/>
              </w:rPr>
              <w:t>h</w:t>
            </w:r>
            <w:r w:rsidRPr="00CD0F54">
              <w:rPr>
                <w:sz w:val="16"/>
                <w:szCs w:val="16"/>
              </w:rPr>
              <w:t>ough substitutability among the goods of the sectors is very low or zero; domestic demands in the sectors that outputs are decreased are assumed to be met by import, supply excesses in the sectors that outputs are increased are assumed to be absorbed by rest of world, by export. Transfer amounts are determined over exo</w:t>
            </w:r>
            <w:r w:rsidR="006D3C67" w:rsidRPr="00CD0F54">
              <w:rPr>
                <w:sz w:val="16"/>
                <w:szCs w:val="16"/>
              </w:rPr>
              <w:t xml:space="preserve">genous final demand amounts of </w:t>
            </w:r>
            <w:r w:rsidRPr="00CD0F54">
              <w:rPr>
                <w:sz w:val="16"/>
                <w:szCs w:val="16"/>
              </w:rPr>
              <w:t>chemistry, metal, industry sectors. This total is transfer</w:t>
            </w:r>
            <w:r w:rsidR="006D3C67" w:rsidRPr="00CD0F54">
              <w:rPr>
                <w:sz w:val="16"/>
                <w:szCs w:val="16"/>
              </w:rPr>
              <w:t>r</w:t>
            </w:r>
            <w:r w:rsidRPr="00CD0F54">
              <w:rPr>
                <w:sz w:val="16"/>
                <w:szCs w:val="16"/>
              </w:rPr>
              <w:t>ed to service, mineral, and food sectors according to their shares.</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TRANSFERRING VOLUME TYPE SHOCK: A 10% transfer shock in exogenous final demand accounts from chemistry, metal, industry sectors to service, mineral, food sectors. </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GDP02</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0.68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2.23</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2.00</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0.78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-0.26</w:t>
            </w:r>
          </w:p>
        </w:tc>
        <w:tc>
          <w:tcPr>
            <w:tcW w:w="722"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0.94</w:t>
            </w:r>
          </w:p>
        </w:tc>
      </w:tr>
      <w:tr w:rsidR="00082B28" w:rsidRPr="00CD0F54" w:rsidTr="001A704A">
        <w:trPr>
          <w:trHeight w:val="1050"/>
        </w:trPr>
        <w:tc>
          <w:tcPr>
            <w:tcW w:w="709" w:type="dxa"/>
            <w:vMerge/>
            <w:tcBorders>
              <w:top w:val="nil"/>
              <w:left w:val="single" w:sz="4" w:space="0" w:color="auto"/>
              <w:bottom w:val="single" w:sz="4" w:space="0" w:color="auto"/>
              <w:right w:val="single" w:sz="4" w:space="0" w:color="auto"/>
            </w:tcBorders>
            <w:vAlign w:val="center"/>
            <w:hideMark/>
          </w:tcPr>
          <w:p w:rsidR="00082B28" w:rsidRPr="00CD0F54" w:rsidRDefault="00082B28" w:rsidP="00CD0F54">
            <w:pPr>
              <w:pStyle w:val="MDPI42tablebody"/>
              <w:rPr>
                <w:sz w:val="16"/>
                <w:szCs w:val="16"/>
              </w:rPr>
            </w:pP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Increase efficiency in high output sectors</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food, mineral, service sectors.</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GDP03</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6.47</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6.22</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5.30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22"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r w:rsidR="00082B28" w:rsidRPr="00CD0F54" w:rsidTr="001A704A">
        <w:trPr>
          <w:trHeight w:val="960"/>
        </w:trPr>
        <w:tc>
          <w:tcPr>
            <w:tcW w:w="709" w:type="dxa"/>
            <w:tcBorders>
              <w:top w:val="nil"/>
              <w:left w:val="single" w:sz="4" w:space="0" w:color="auto"/>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AGRICULTURE</w:t>
            </w:r>
          </w:p>
        </w:tc>
        <w:tc>
          <w:tcPr>
            <w:tcW w:w="1985"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 xml:space="preserve">Increase efficiency </w:t>
            </w:r>
          </w:p>
        </w:tc>
        <w:tc>
          <w:tcPr>
            <w:tcW w:w="3544"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Raising efficiency can be realized by improvement in technology: using same amount of input but obtaining more output.</w:t>
            </w:r>
          </w:p>
        </w:tc>
        <w:tc>
          <w:tcPr>
            <w:tcW w:w="2693"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INCREASING EFFICIENCY TYPE SHOCK: A 10% increase shock in exogenous final demand accounts of agriculture sector.</w:t>
            </w:r>
          </w:p>
        </w:tc>
        <w:tc>
          <w:tcPr>
            <w:tcW w:w="709" w:type="dxa"/>
            <w:tcBorders>
              <w:top w:val="nil"/>
              <w:left w:val="nil"/>
              <w:bottom w:val="single" w:sz="4" w:space="0" w:color="auto"/>
              <w:right w:val="single" w:sz="4" w:space="0" w:color="auto"/>
            </w:tcBorders>
            <w:shd w:val="clear" w:color="auto" w:fill="auto"/>
            <w:hideMark/>
          </w:tcPr>
          <w:p w:rsidR="00082B28" w:rsidRPr="00CD0F54" w:rsidRDefault="00082B28" w:rsidP="00CD0F54">
            <w:pPr>
              <w:pStyle w:val="MDPI42tablebody"/>
              <w:rPr>
                <w:sz w:val="16"/>
                <w:szCs w:val="16"/>
              </w:rPr>
            </w:pPr>
            <w:r w:rsidRPr="00CD0F54">
              <w:rPr>
                <w:sz w:val="16"/>
                <w:szCs w:val="16"/>
              </w:rPr>
              <w:t>GDP04</w:t>
            </w:r>
          </w:p>
        </w:tc>
        <w:tc>
          <w:tcPr>
            <w:tcW w:w="850"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0.38</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0.61</w:t>
            </w:r>
          </w:p>
        </w:tc>
        <w:tc>
          <w:tcPr>
            <w:tcW w:w="708"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r w:rsidRPr="00CD0F54">
              <w:rPr>
                <w:sz w:val="16"/>
                <w:szCs w:val="16"/>
              </w:rPr>
              <w:t>0.50</w:t>
            </w:r>
          </w:p>
        </w:tc>
        <w:tc>
          <w:tcPr>
            <w:tcW w:w="709"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c>
          <w:tcPr>
            <w:tcW w:w="722" w:type="dxa"/>
            <w:tcBorders>
              <w:top w:val="nil"/>
              <w:left w:val="nil"/>
              <w:bottom w:val="single" w:sz="4" w:space="0" w:color="auto"/>
              <w:right w:val="single" w:sz="4" w:space="0" w:color="auto"/>
            </w:tcBorders>
            <w:shd w:val="clear" w:color="auto" w:fill="auto"/>
            <w:noWrap/>
            <w:vAlign w:val="bottom"/>
            <w:hideMark/>
          </w:tcPr>
          <w:p w:rsidR="00082B28" w:rsidRPr="00CD0F54" w:rsidRDefault="00082B28" w:rsidP="00CD0F54">
            <w:pPr>
              <w:pStyle w:val="MDPI42tablebody"/>
              <w:rPr>
                <w:sz w:val="16"/>
                <w:szCs w:val="16"/>
              </w:rPr>
            </w:pPr>
            <w:proofErr w:type="spellStart"/>
            <w:r w:rsidRPr="00CD0F54">
              <w:rPr>
                <w:sz w:val="16"/>
                <w:szCs w:val="16"/>
              </w:rPr>
              <w:t>na</w:t>
            </w:r>
            <w:proofErr w:type="spellEnd"/>
          </w:p>
        </w:tc>
      </w:tr>
    </w:tbl>
    <w:p w:rsidR="00082B28" w:rsidRDefault="00082B28">
      <w:pPr>
        <w:rPr>
          <w:rFonts w:ascii="Arial" w:hAnsi="Arial" w:cs="Arial"/>
          <w:sz w:val="24"/>
          <w:szCs w:val="24"/>
        </w:rPr>
      </w:pPr>
    </w:p>
    <w:p w:rsidR="00BB1F00" w:rsidRDefault="00BB1F00">
      <w:pPr>
        <w:rPr>
          <w:rFonts w:ascii="Arial" w:hAnsi="Arial" w:cs="Arial"/>
          <w:sz w:val="24"/>
          <w:szCs w:val="24"/>
        </w:rPr>
      </w:pPr>
    </w:p>
    <w:sectPr w:rsidR="00BB1F00" w:rsidSect="00FE66B9">
      <w:pgSz w:w="16838" w:h="11906" w:orient="landscape"/>
      <w:pgMar w:top="1418" w:right="1531" w:bottom="1077"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inion Pro">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15:restartNumberingAfterBreak="0">
    <w:nsid w:val="5D746AF6"/>
    <w:multiLevelType w:val="hybridMultilevel"/>
    <w:tmpl w:val="6700C282"/>
    <w:lvl w:ilvl="0" w:tplc="03CC29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A33"/>
    <w:rsid w:val="00006AD4"/>
    <w:rsid w:val="00022E3E"/>
    <w:rsid w:val="00032A61"/>
    <w:rsid w:val="00082B28"/>
    <w:rsid w:val="000B7CB0"/>
    <w:rsid w:val="000C1925"/>
    <w:rsid w:val="000C332E"/>
    <w:rsid w:val="000C5E54"/>
    <w:rsid w:val="000F2BB4"/>
    <w:rsid w:val="00115A86"/>
    <w:rsid w:val="00115B66"/>
    <w:rsid w:val="0013195C"/>
    <w:rsid w:val="00142453"/>
    <w:rsid w:val="00161043"/>
    <w:rsid w:val="001A704A"/>
    <w:rsid w:val="001B2A1A"/>
    <w:rsid w:val="001F0C34"/>
    <w:rsid w:val="00213146"/>
    <w:rsid w:val="00225FE0"/>
    <w:rsid w:val="00236922"/>
    <w:rsid w:val="00293A6C"/>
    <w:rsid w:val="00297225"/>
    <w:rsid w:val="002C552B"/>
    <w:rsid w:val="00347990"/>
    <w:rsid w:val="00372D53"/>
    <w:rsid w:val="00383EE6"/>
    <w:rsid w:val="003B67AF"/>
    <w:rsid w:val="0042689C"/>
    <w:rsid w:val="00466E96"/>
    <w:rsid w:val="005062D7"/>
    <w:rsid w:val="005134D0"/>
    <w:rsid w:val="0051557C"/>
    <w:rsid w:val="005209CE"/>
    <w:rsid w:val="00551EC0"/>
    <w:rsid w:val="005651EF"/>
    <w:rsid w:val="00567940"/>
    <w:rsid w:val="005816F9"/>
    <w:rsid w:val="005D259D"/>
    <w:rsid w:val="005D51E3"/>
    <w:rsid w:val="005F3BC7"/>
    <w:rsid w:val="0061151E"/>
    <w:rsid w:val="006228FB"/>
    <w:rsid w:val="0065799C"/>
    <w:rsid w:val="00677CE8"/>
    <w:rsid w:val="006850CC"/>
    <w:rsid w:val="006B79F9"/>
    <w:rsid w:val="006D3C67"/>
    <w:rsid w:val="006F0C8F"/>
    <w:rsid w:val="0071589F"/>
    <w:rsid w:val="00750DF8"/>
    <w:rsid w:val="00783927"/>
    <w:rsid w:val="00793FDD"/>
    <w:rsid w:val="007A2A8D"/>
    <w:rsid w:val="007B6891"/>
    <w:rsid w:val="00812A33"/>
    <w:rsid w:val="00836951"/>
    <w:rsid w:val="00842963"/>
    <w:rsid w:val="008621D1"/>
    <w:rsid w:val="00883681"/>
    <w:rsid w:val="008D79E2"/>
    <w:rsid w:val="008E6C6C"/>
    <w:rsid w:val="009121A0"/>
    <w:rsid w:val="00974022"/>
    <w:rsid w:val="009B4F8F"/>
    <w:rsid w:val="009C1DD0"/>
    <w:rsid w:val="00A1656C"/>
    <w:rsid w:val="00A518DE"/>
    <w:rsid w:val="00A907A3"/>
    <w:rsid w:val="00AA5948"/>
    <w:rsid w:val="00AD2B19"/>
    <w:rsid w:val="00AD62AD"/>
    <w:rsid w:val="00B2663B"/>
    <w:rsid w:val="00B85E64"/>
    <w:rsid w:val="00B97F75"/>
    <w:rsid w:val="00BB1F00"/>
    <w:rsid w:val="00BF5913"/>
    <w:rsid w:val="00C80258"/>
    <w:rsid w:val="00C92757"/>
    <w:rsid w:val="00CB4F66"/>
    <w:rsid w:val="00CB6426"/>
    <w:rsid w:val="00CD0F54"/>
    <w:rsid w:val="00CF3AC2"/>
    <w:rsid w:val="00D15B55"/>
    <w:rsid w:val="00DA735F"/>
    <w:rsid w:val="00DF64F5"/>
    <w:rsid w:val="00E020E4"/>
    <w:rsid w:val="00E409EC"/>
    <w:rsid w:val="00E42227"/>
    <w:rsid w:val="00E44515"/>
    <w:rsid w:val="00E77613"/>
    <w:rsid w:val="00E82A76"/>
    <w:rsid w:val="00EA28AD"/>
    <w:rsid w:val="00EC4F40"/>
    <w:rsid w:val="00ED0942"/>
    <w:rsid w:val="00ED2929"/>
    <w:rsid w:val="00EE06D8"/>
    <w:rsid w:val="00F113A5"/>
    <w:rsid w:val="00FC04FF"/>
    <w:rsid w:val="00FC2D14"/>
    <w:rsid w:val="00FE2204"/>
    <w:rsid w:val="00FE2790"/>
    <w:rsid w:val="00FE66B9"/>
    <w:rsid w:val="00FF4A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99C0"/>
  <w15:docId w15:val="{2E31E1C7-C70F-4E26-BAE6-E6C55B20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9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31text">
    <w:name w:val="MDPI_3.1_text"/>
    <w:qFormat/>
    <w:rsid w:val="00115B66"/>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11articletype">
    <w:name w:val="MDPI_1.1_article_type"/>
    <w:basedOn w:val="MDPI31text"/>
    <w:next w:val="Normal"/>
    <w:qFormat/>
    <w:rsid w:val="00115B66"/>
    <w:pPr>
      <w:spacing w:before="240" w:line="240" w:lineRule="auto"/>
      <w:ind w:firstLine="0"/>
      <w:jc w:val="left"/>
    </w:pPr>
    <w:rPr>
      <w:i/>
    </w:rPr>
  </w:style>
  <w:style w:type="paragraph" w:customStyle="1" w:styleId="MDPI12title">
    <w:name w:val="MDPI_1.2_title"/>
    <w:next w:val="Normal"/>
    <w:qFormat/>
    <w:rsid w:val="00115B66"/>
    <w:pPr>
      <w:adjustRightInd w:val="0"/>
      <w:snapToGrid w:val="0"/>
      <w:spacing w:after="240" w:line="400" w:lineRule="exac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basedOn w:val="MDPI31text"/>
    <w:next w:val="Normal"/>
    <w:qFormat/>
    <w:rsid w:val="00115B66"/>
    <w:pPr>
      <w:spacing w:after="120"/>
      <w:ind w:firstLine="0"/>
      <w:jc w:val="left"/>
    </w:pPr>
    <w:rPr>
      <w:b/>
      <w:snapToGrid/>
    </w:rPr>
  </w:style>
  <w:style w:type="paragraph" w:customStyle="1" w:styleId="MDPI62Acknowledgments">
    <w:name w:val="MDPI_6.2_Acknowledgments"/>
    <w:qFormat/>
    <w:rsid w:val="00115B66"/>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14history">
    <w:name w:val="MDPI_1.4_history"/>
    <w:basedOn w:val="MDPI62Acknowledgments"/>
    <w:next w:val="Normal"/>
    <w:qFormat/>
    <w:rsid w:val="00115B66"/>
    <w:pPr>
      <w:ind w:left="113"/>
      <w:jc w:val="left"/>
    </w:pPr>
    <w:rPr>
      <w:snapToGrid/>
    </w:rPr>
  </w:style>
  <w:style w:type="paragraph" w:customStyle="1" w:styleId="MDPI15academiceditor">
    <w:name w:val="MDPI_1.5_academic_editor"/>
    <w:basedOn w:val="MDPI62Acknowledgments"/>
    <w:qFormat/>
    <w:rsid w:val="00115B66"/>
    <w:pPr>
      <w:spacing w:before="0" w:after="120"/>
      <w:ind w:left="113"/>
      <w:jc w:val="left"/>
    </w:pPr>
    <w:rPr>
      <w:snapToGrid/>
      <w:szCs w:val="22"/>
    </w:rPr>
  </w:style>
  <w:style w:type="paragraph" w:customStyle="1" w:styleId="MDPI16affiliation">
    <w:name w:val="MDPI_1.6_affiliation"/>
    <w:basedOn w:val="MDPI62Acknowledgments"/>
    <w:qFormat/>
    <w:rsid w:val="00115B66"/>
    <w:pPr>
      <w:spacing w:before="0"/>
      <w:ind w:left="311" w:hanging="198"/>
      <w:jc w:val="left"/>
    </w:pPr>
    <w:rPr>
      <w:snapToGrid/>
      <w:szCs w:val="18"/>
    </w:rPr>
  </w:style>
  <w:style w:type="paragraph" w:customStyle="1" w:styleId="MDPI17abstract">
    <w:name w:val="MDPI_1.7_abstract"/>
    <w:basedOn w:val="MDPI31text"/>
    <w:next w:val="Normal"/>
    <w:qFormat/>
    <w:rsid w:val="00115B66"/>
    <w:pPr>
      <w:spacing w:before="240"/>
      <w:ind w:left="113" w:firstLine="0"/>
    </w:pPr>
    <w:rPr>
      <w:snapToGrid/>
    </w:rPr>
  </w:style>
  <w:style w:type="paragraph" w:customStyle="1" w:styleId="MDPI18keywords">
    <w:name w:val="MDPI_1.8_keywords"/>
    <w:basedOn w:val="MDPI31text"/>
    <w:next w:val="Normal"/>
    <w:qFormat/>
    <w:rsid w:val="00115B66"/>
    <w:pPr>
      <w:spacing w:before="240"/>
      <w:ind w:left="113" w:firstLine="0"/>
    </w:pPr>
  </w:style>
  <w:style w:type="paragraph" w:customStyle="1" w:styleId="MDPI19classification">
    <w:name w:val="MDPI_1.9_classification"/>
    <w:basedOn w:val="MDPI31text"/>
    <w:qFormat/>
    <w:rsid w:val="00115B66"/>
    <w:pPr>
      <w:spacing w:before="240"/>
      <w:ind w:left="113" w:firstLine="0"/>
    </w:pPr>
    <w:rPr>
      <w:b/>
      <w:snapToGrid/>
    </w:rPr>
  </w:style>
  <w:style w:type="paragraph" w:customStyle="1" w:styleId="MDPI19line">
    <w:name w:val="MDPI_1.9_line"/>
    <w:basedOn w:val="MDPI31text"/>
    <w:qFormat/>
    <w:rsid w:val="00115B66"/>
    <w:pPr>
      <w:pBdr>
        <w:bottom w:val="single" w:sz="6" w:space="1" w:color="auto"/>
      </w:pBdr>
      <w:ind w:firstLine="0"/>
    </w:pPr>
    <w:rPr>
      <w:rFonts w:cstheme="minorBidi"/>
      <w:snapToGrid/>
      <w:szCs w:val="24"/>
    </w:rPr>
  </w:style>
  <w:style w:type="paragraph" w:customStyle="1" w:styleId="MDPI23heading3">
    <w:name w:val="MDPI_2.3_heading3"/>
    <w:basedOn w:val="MDPI31text"/>
    <w:qFormat/>
    <w:rsid w:val="00115B66"/>
    <w:pPr>
      <w:spacing w:before="240" w:after="120"/>
      <w:ind w:firstLine="0"/>
      <w:jc w:val="left"/>
      <w:outlineLvl w:val="2"/>
    </w:pPr>
  </w:style>
  <w:style w:type="paragraph" w:customStyle="1" w:styleId="MDPI21heading1">
    <w:name w:val="MDPI_2.1_heading1"/>
    <w:basedOn w:val="MDPI23heading3"/>
    <w:qFormat/>
    <w:rsid w:val="00115B66"/>
    <w:pPr>
      <w:outlineLvl w:val="0"/>
    </w:pPr>
    <w:rPr>
      <w:b/>
    </w:rPr>
  </w:style>
  <w:style w:type="paragraph" w:customStyle="1" w:styleId="MDPItext">
    <w:name w:val="MDPI_text"/>
    <w:basedOn w:val="Normal"/>
    <w:qFormat/>
    <w:rsid w:val="00115B66"/>
    <w:pPr>
      <w:kinsoku w:val="0"/>
      <w:overflowPunct w:val="0"/>
      <w:autoSpaceDE w:val="0"/>
      <w:autoSpaceDN w:val="0"/>
      <w:adjustRightInd w:val="0"/>
      <w:snapToGrid w:val="0"/>
      <w:spacing w:after="0" w:line="320" w:lineRule="atLeast"/>
      <w:ind w:left="425" w:right="425" w:firstLine="425"/>
      <w:jc w:val="both"/>
    </w:pPr>
    <w:rPr>
      <w:rFonts w:ascii="Minion Pro" w:eastAsia="Times New Roman" w:hAnsi="Minion Pro" w:cs="Times New Roman"/>
      <w:noProof/>
      <w:snapToGrid w:val="0"/>
      <w:color w:val="000000"/>
      <w:lang w:val="en-US" w:eastAsia="de-DE" w:bidi="en-US"/>
    </w:rPr>
  </w:style>
  <w:style w:type="paragraph" w:customStyle="1" w:styleId="MDPI22heading2">
    <w:name w:val="MDPI_2.2_heading2"/>
    <w:basedOn w:val="MDPItext"/>
    <w:qFormat/>
    <w:rsid w:val="00115B66"/>
    <w:pPr>
      <w:spacing w:before="240" w:after="120" w:line="260" w:lineRule="atLeast"/>
      <w:ind w:left="0" w:right="0" w:firstLine="0"/>
      <w:jc w:val="left"/>
      <w:outlineLvl w:val="1"/>
    </w:pPr>
    <w:rPr>
      <w:rFonts w:ascii="Palatino Linotype" w:hAnsi="Palatino Linotype"/>
      <w:i/>
      <w:sz w:val="20"/>
    </w:rPr>
  </w:style>
  <w:style w:type="paragraph" w:customStyle="1" w:styleId="MDPI32textnoindent">
    <w:name w:val="MDPI_3.2_text_no_indent"/>
    <w:basedOn w:val="MDPI31text"/>
    <w:qFormat/>
    <w:rsid w:val="00115B66"/>
    <w:pPr>
      <w:ind w:firstLine="0"/>
    </w:pPr>
  </w:style>
  <w:style w:type="paragraph" w:customStyle="1" w:styleId="MDPI33textspaceafter">
    <w:name w:val="MDPI_3.3_text_space_after"/>
    <w:basedOn w:val="MDPI31text"/>
    <w:qFormat/>
    <w:rsid w:val="00115B66"/>
    <w:pPr>
      <w:spacing w:after="240"/>
    </w:pPr>
  </w:style>
  <w:style w:type="paragraph" w:customStyle="1" w:styleId="MDPI34textspacebefore">
    <w:name w:val="MDPI_3.4_text_space_before"/>
    <w:basedOn w:val="MDPI31text"/>
    <w:qFormat/>
    <w:rsid w:val="00115B66"/>
    <w:pPr>
      <w:spacing w:before="240"/>
    </w:pPr>
  </w:style>
  <w:style w:type="paragraph" w:customStyle="1" w:styleId="MDPI35textbeforelist">
    <w:name w:val="MDPI_3.5_text_before_list"/>
    <w:basedOn w:val="MDPI31text"/>
    <w:qFormat/>
    <w:rsid w:val="00115B66"/>
    <w:pPr>
      <w:spacing w:after="120"/>
    </w:pPr>
  </w:style>
  <w:style w:type="paragraph" w:customStyle="1" w:styleId="MDPI36textafterlist">
    <w:name w:val="MDPI_3.6_text_after_list"/>
    <w:basedOn w:val="MDPI31text"/>
    <w:qFormat/>
    <w:rsid w:val="00115B66"/>
    <w:pPr>
      <w:spacing w:before="120"/>
    </w:pPr>
  </w:style>
  <w:style w:type="paragraph" w:customStyle="1" w:styleId="MDPI37itemize">
    <w:name w:val="MDPI_3.7_itemize"/>
    <w:basedOn w:val="MDPI31text"/>
    <w:qFormat/>
    <w:rsid w:val="00115B66"/>
    <w:pPr>
      <w:ind w:left="425" w:hanging="425"/>
    </w:pPr>
  </w:style>
  <w:style w:type="paragraph" w:customStyle="1" w:styleId="MDPI38bullet">
    <w:name w:val="MDPI_3.8_bullet"/>
    <w:basedOn w:val="MDPI31text"/>
    <w:qFormat/>
    <w:rsid w:val="00115B66"/>
    <w:pPr>
      <w:ind w:left="425" w:hanging="425"/>
    </w:pPr>
  </w:style>
  <w:style w:type="paragraph" w:customStyle="1" w:styleId="MDPI39equation">
    <w:name w:val="MDPI_3.9_equation"/>
    <w:basedOn w:val="MDPI31text"/>
    <w:qFormat/>
    <w:rsid w:val="00115B66"/>
    <w:pPr>
      <w:spacing w:before="120" w:after="120"/>
      <w:ind w:left="709" w:firstLine="0"/>
      <w:jc w:val="center"/>
    </w:pPr>
  </w:style>
  <w:style w:type="paragraph" w:customStyle="1" w:styleId="MDPI3aequationnumber">
    <w:name w:val="MDPI_3.a_equation_number"/>
    <w:basedOn w:val="MDPI31text"/>
    <w:qFormat/>
    <w:rsid w:val="00115B66"/>
    <w:pPr>
      <w:spacing w:before="120" w:after="120" w:line="240" w:lineRule="auto"/>
      <w:ind w:firstLine="0"/>
      <w:jc w:val="right"/>
    </w:pPr>
  </w:style>
  <w:style w:type="paragraph" w:customStyle="1" w:styleId="MDPI411onetablecaption">
    <w:name w:val="MDPI_4.1.1_one_table_caption"/>
    <w:basedOn w:val="Normal"/>
    <w:qFormat/>
    <w:rsid w:val="00115B66"/>
    <w:pPr>
      <w:adjustRightInd w:val="0"/>
      <w:snapToGrid w:val="0"/>
      <w:spacing w:before="120" w:after="240" w:line="260" w:lineRule="atLeast"/>
      <w:jc w:val="center"/>
    </w:pPr>
    <w:rPr>
      <w:rFonts w:ascii="Palatino Linotype" w:eastAsia="Times New Roman" w:hAnsi="Palatino Linotype"/>
      <w:color w:val="000000"/>
      <w:sz w:val="18"/>
      <w:lang w:val="en-US" w:eastAsia="de-DE" w:bidi="en-US"/>
    </w:rPr>
  </w:style>
  <w:style w:type="paragraph" w:customStyle="1" w:styleId="MDPI41tablecaption">
    <w:name w:val="MDPI_4.1_table_caption"/>
    <w:basedOn w:val="MDPI62Acknowledgments"/>
    <w:qFormat/>
    <w:rsid w:val="00115B66"/>
    <w:pPr>
      <w:spacing w:before="240" w:after="120" w:line="260" w:lineRule="atLeast"/>
      <w:ind w:left="425" w:right="425"/>
    </w:pPr>
    <w:rPr>
      <w:rFonts w:cstheme="minorBidi"/>
      <w:snapToGrid/>
      <w:szCs w:val="22"/>
    </w:rPr>
  </w:style>
  <w:style w:type="paragraph" w:customStyle="1" w:styleId="MDPI42tablebody">
    <w:name w:val="MDPI_4.2_table_body"/>
    <w:qFormat/>
    <w:rsid w:val="00115B66"/>
    <w:pPr>
      <w:adjustRightInd w:val="0"/>
      <w:snapToGrid w:val="0"/>
      <w:spacing w:after="0" w:line="240" w:lineRule="auto"/>
    </w:pPr>
    <w:rPr>
      <w:rFonts w:ascii="Palatino Linotype" w:eastAsia="Times New Roman" w:hAnsi="Palatino Linotype"/>
      <w:snapToGrid w:val="0"/>
      <w:color w:val="000000"/>
      <w:sz w:val="20"/>
      <w:szCs w:val="20"/>
      <w:lang w:val="en-US" w:eastAsia="de-DE" w:bidi="en-US"/>
    </w:rPr>
  </w:style>
  <w:style w:type="paragraph" w:customStyle="1" w:styleId="MDPI43tablefooter">
    <w:name w:val="MDPI_4.3_table_footer"/>
    <w:basedOn w:val="MDPI41tablecaption"/>
    <w:next w:val="MDPI31text"/>
    <w:qFormat/>
    <w:rsid w:val="00115B66"/>
    <w:pPr>
      <w:spacing w:before="0"/>
      <w:ind w:left="0" w:right="0"/>
    </w:pPr>
  </w:style>
  <w:style w:type="paragraph" w:customStyle="1" w:styleId="MDPI511onefigurecaption">
    <w:name w:val="MDPI_5.1.1_one_figure_caption"/>
    <w:basedOn w:val="Normal"/>
    <w:qFormat/>
    <w:rsid w:val="00115B66"/>
    <w:pPr>
      <w:adjustRightInd w:val="0"/>
      <w:snapToGrid w:val="0"/>
      <w:spacing w:before="120" w:after="240" w:line="260" w:lineRule="atLeast"/>
      <w:jc w:val="center"/>
    </w:pPr>
    <w:rPr>
      <w:rFonts w:ascii="Palatino Linotype" w:eastAsia="Times New Roman" w:hAnsi="Palatino Linotype" w:cs="Times New Roman"/>
      <w:color w:val="000000"/>
      <w:sz w:val="18"/>
      <w:szCs w:val="20"/>
      <w:lang w:val="en-US" w:eastAsia="de-DE" w:bidi="en-US"/>
    </w:rPr>
  </w:style>
  <w:style w:type="paragraph" w:customStyle="1" w:styleId="MDPI51figurecaption">
    <w:name w:val="MDPI_5.1_figure_caption"/>
    <w:basedOn w:val="MDPI62Acknowledgments"/>
    <w:qFormat/>
    <w:rsid w:val="00115B66"/>
    <w:pPr>
      <w:spacing w:after="240" w:line="260" w:lineRule="atLeast"/>
      <w:ind w:left="425" w:right="425"/>
    </w:pPr>
    <w:rPr>
      <w:snapToGrid/>
    </w:rPr>
  </w:style>
  <w:style w:type="paragraph" w:customStyle="1" w:styleId="MDPI52figure">
    <w:name w:val="MDPI_5.2_figure"/>
    <w:qFormat/>
    <w:rsid w:val="00115B66"/>
    <w:pPr>
      <w:spacing w:after="0" w:line="240" w:lineRule="auto"/>
      <w:jc w:val="center"/>
    </w:pPr>
    <w:rPr>
      <w:rFonts w:ascii="Palatino Linotype" w:eastAsia="Times New Roman" w:hAnsi="Palatino Linotype"/>
      <w:snapToGrid w:val="0"/>
      <w:color w:val="000000"/>
      <w:sz w:val="24"/>
      <w:szCs w:val="20"/>
      <w:lang w:val="en-US" w:eastAsia="de-DE" w:bidi="en-US"/>
    </w:rPr>
  </w:style>
  <w:style w:type="paragraph" w:customStyle="1" w:styleId="MDPI61Supplementary">
    <w:name w:val="MDPI_6.1_Supplementary"/>
    <w:basedOn w:val="MDPI62Acknowledgments"/>
    <w:qFormat/>
    <w:rsid w:val="00115B66"/>
    <w:pPr>
      <w:spacing w:before="240"/>
    </w:pPr>
    <w:rPr>
      <w:lang w:eastAsia="en-US"/>
    </w:rPr>
  </w:style>
  <w:style w:type="paragraph" w:customStyle="1" w:styleId="MDPI63AuthorContributions">
    <w:name w:val="MDPI_6.3_AuthorContributions"/>
    <w:basedOn w:val="MDPI62Acknowledgments"/>
    <w:qFormat/>
    <w:rsid w:val="00115B66"/>
    <w:rPr>
      <w:rFonts w:eastAsia="SimSun"/>
      <w:color w:val="auto"/>
      <w:lang w:eastAsia="en-US"/>
    </w:rPr>
  </w:style>
  <w:style w:type="paragraph" w:customStyle="1" w:styleId="MDPI64CoI">
    <w:name w:val="MDPI_6.4_CoI"/>
    <w:basedOn w:val="MDPI62Acknowledgments"/>
    <w:qFormat/>
    <w:rsid w:val="00115B66"/>
  </w:style>
  <w:style w:type="paragraph" w:customStyle="1" w:styleId="MDPI71References">
    <w:name w:val="MDPI_7.1_References"/>
    <w:basedOn w:val="MDPI62Acknowledgments"/>
    <w:qFormat/>
    <w:rsid w:val="00115B66"/>
    <w:pPr>
      <w:spacing w:before="0" w:line="260" w:lineRule="atLeast"/>
      <w:ind w:left="425" w:hanging="425"/>
    </w:pPr>
  </w:style>
  <w:style w:type="paragraph" w:customStyle="1" w:styleId="MDPI72Copyright">
    <w:name w:val="MDPI_7.2_Copyright"/>
    <w:basedOn w:val="MDPI71References"/>
    <w:qFormat/>
    <w:rsid w:val="00115B66"/>
    <w:pPr>
      <w:spacing w:before="400"/>
      <w:ind w:left="0" w:firstLine="0"/>
    </w:pPr>
    <w:rPr>
      <w:noProof/>
      <w:spacing w:val="-2"/>
      <w:lang w:val="en-GB" w:eastAsia="en-GB" w:bidi="ar-SA"/>
    </w:rPr>
  </w:style>
  <w:style w:type="paragraph" w:customStyle="1" w:styleId="MDPI73CopyrightImage">
    <w:name w:val="MDPI_7.3_CopyrightImage"/>
    <w:rsid w:val="00115B66"/>
    <w:pPr>
      <w:adjustRightInd w:val="0"/>
      <w:snapToGrid w:val="0"/>
      <w:spacing w:after="100" w:line="240" w:lineRule="auto"/>
      <w:jc w:val="right"/>
    </w:pPr>
    <w:rPr>
      <w:rFonts w:ascii="Times New Roman" w:eastAsia="Times New Roman" w:hAnsi="Times New Roman" w:cs="Times New Roman"/>
      <w:color w:val="000000"/>
      <w:sz w:val="20"/>
      <w:szCs w:val="20"/>
      <w:lang w:val="en-US" w:eastAsia="de-CH"/>
    </w:rPr>
  </w:style>
  <w:style w:type="paragraph" w:customStyle="1" w:styleId="MDPI81theorem">
    <w:name w:val="MDPI_8.1_theorem"/>
    <w:basedOn w:val="MDPI32textnoindent"/>
    <w:qFormat/>
    <w:rsid w:val="00115B66"/>
    <w:rPr>
      <w:i/>
    </w:rPr>
  </w:style>
  <w:style w:type="paragraph" w:customStyle="1" w:styleId="MDPI82proof">
    <w:name w:val="MDPI_8.2_proof"/>
    <w:basedOn w:val="MDPI32textnoindent"/>
    <w:qFormat/>
    <w:rsid w:val="00115B66"/>
  </w:style>
  <w:style w:type="paragraph" w:customStyle="1" w:styleId="MDPIfooter">
    <w:name w:val="MDPI_footer"/>
    <w:qFormat/>
    <w:rsid w:val="00115B66"/>
    <w:pPr>
      <w:adjustRightInd w:val="0"/>
      <w:snapToGrid w:val="0"/>
      <w:spacing w:before="120" w:after="0" w:line="240" w:lineRule="auto"/>
      <w:jc w:val="center"/>
    </w:pPr>
    <w:rPr>
      <w:rFonts w:ascii="Palatino Linotype" w:eastAsia="Times New Roman" w:hAnsi="Palatino Linotype" w:cs="Times New Roman"/>
      <w:sz w:val="20"/>
      <w:szCs w:val="20"/>
      <w:lang w:val="en-US" w:eastAsia="de-DE"/>
    </w:rPr>
  </w:style>
  <w:style w:type="paragraph" w:customStyle="1" w:styleId="MDPIfooterfirstpage">
    <w:name w:val="MDPI_footer_firstpage"/>
    <w:basedOn w:val="MDPIfooter"/>
    <w:qFormat/>
    <w:rsid w:val="00115B66"/>
    <w:pPr>
      <w:tabs>
        <w:tab w:val="right" w:pos="8845"/>
      </w:tabs>
      <w:spacing w:line="160" w:lineRule="exact"/>
      <w:jc w:val="left"/>
    </w:pPr>
    <w:rPr>
      <w:sz w:val="16"/>
    </w:rPr>
  </w:style>
  <w:style w:type="paragraph" w:customStyle="1" w:styleId="MDPIheader">
    <w:name w:val="MDPI_header"/>
    <w:qFormat/>
    <w:rsid w:val="00115B66"/>
    <w:pPr>
      <w:adjustRightInd w:val="0"/>
      <w:snapToGrid w:val="0"/>
      <w:spacing w:after="240" w:line="240" w:lineRule="auto"/>
    </w:pPr>
    <w:rPr>
      <w:rFonts w:ascii="Palatino Linotype" w:eastAsia="Times New Roman" w:hAnsi="Palatino Linotype" w:cs="Times New Roman"/>
      <w:iCs/>
      <w:sz w:val="16"/>
      <w:szCs w:val="20"/>
      <w:lang w:val="en-US" w:eastAsia="de-DE"/>
    </w:rPr>
  </w:style>
  <w:style w:type="paragraph" w:customStyle="1" w:styleId="MDPIheadercitation">
    <w:name w:val="MDPI_header_citation"/>
    <w:basedOn w:val="MDPI62Acknowledgments"/>
    <w:rsid w:val="00115B66"/>
    <w:pPr>
      <w:spacing w:before="0" w:after="240" w:line="240" w:lineRule="auto"/>
      <w:jc w:val="left"/>
    </w:pPr>
  </w:style>
  <w:style w:type="paragraph" w:customStyle="1" w:styleId="MDPIheaderjournallogo">
    <w:name w:val="MDPI_header_journal_logo"/>
    <w:qFormat/>
    <w:rsid w:val="00115B66"/>
    <w:pPr>
      <w:adjustRightInd w:val="0"/>
      <w:snapToGrid w:val="0"/>
      <w:spacing w:after="0" w:line="240" w:lineRule="auto"/>
    </w:pPr>
    <w:rPr>
      <w:rFonts w:ascii="Palatino Linotype" w:eastAsia="Times New Roman" w:hAnsi="Palatino Linotype" w:cs="Times New Roman"/>
      <w:i/>
      <w:color w:val="000000"/>
      <w:sz w:val="24"/>
      <w:lang w:val="en-US" w:eastAsia="de-CH"/>
    </w:rPr>
  </w:style>
  <w:style w:type="paragraph" w:customStyle="1" w:styleId="MDPIheadermdpilogo">
    <w:name w:val="MDPI_header_mdpi_logo"/>
    <w:qFormat/>
    <w:rsid w:val="00115B66"/>
    <w:pPr>
      <w:adjustRightInd w:val="0"/>
      <w:snapToGrid w:val="0"/>
      <w:spacing w:after="0" w:line="240" w:lineRule="auto"/>
      <w:jc w:val="right"/>
    </w:pPr>
    <w:rPr>
      <w:rFonts w:ascii="Palatino Linotype" w:eastAsia="Times New Roman" w:hAnsi="Palatino Linotype" w:cs="Times New Roman"/>
      <w:color w:val="000000"/>
      <w:sz w:val="24"/>
      <w:lang w:val="en-US" w:eastAsia="de-CH"/>
    </w:rPr>
  </w:style>
  <w:style w:type="paragraph" w:customStyle="1" w:styleId="MDPItitle">
    <w:name w:val="MDPI_title"/>
    <w:qFormat/>
    <w:rsid w:val="00115B66"/>
    <w:pPr>
      <w:adjustRightInd w:val="0"/>
      <w:snapToGrid w:val="0"/>
      <w:spacing w:after="240" w:line="240" w:lineRule="auto"/>
    </w:pPr>
    <w:rPr>
      <w:rFonts w:ascii="Times New Roman" w:eastAsia="Times New Roman" w:hAnsi="Times New Roman" w:cs="Times New Roman"/>
      <w:b/>
      <w:snapToGrid w:val="0"/>
      <w:color w:val="000000"/>
      <w:sz w:val="36"/>
      <w:szCs w:val="20"/>
      <w:lang w:val="en-US" w:eastAsia="de-DE" w:bidi="en-US"/>
    </w:rPr>
  </w:style>
  <w:style w:type="paragraph" w:styleId="ListParagraph">
    <w:name w:val="List Paragraph"/>
    <w:basedOn w:val="Normal"/>
    <w:uiPriority w:val="34"/>
    <w:qFormat/>
    <w:rsid w:val="00EC4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626">
      <w:bodyDiv w:val="1"/>
      <w:marLeft w:val="0"/>
      <w:marRight w:val="0"/>
      <w:marTop w:val="0"/>
      <w:marBottom w:val="0"/>
      <w:divBdr>
        <w:top w:val="none" w:sz="0" w:space="0" w:color="auto"/>
        <w:left w:val="none" w:sz="0" w:space="0" w:color="auto"/>
        <w:bottom w:val="none" w:sz="0" w:space="0" w:color="auto"/>
        <w:right w:val="none" w:sz="0" w:space="0" w:color="auto"/>
      </w:divBdr>
    </w:div>
    <w:div w:id="69668124">
      <w:bodyDiv w:val="1"/>
      <w:marLeft w:val="0"/>
      <w:marRight w:val="0"/>
      <w:marTop w:val="0"/>
      <w:marBottom w:val="0"/>
      <w:divBdr>
        <w:top w:val="none" w:sz="0" w:space="0" w:color="auto"/>
        <w:left w:val="none" w:sz="0" w:space="0" w:color="auto"/>
        <w:bottom w:val="none" w:sz="0" w:space="0" w:color="auto"/>
        <w:right w:val="none" w:sz="0" w:space="0" w:color="auto"/>
      </w:divBdr>
    </w:div>
    <w:div w:id="72119300">
      <w:bodyDiv w:val="1"/>
      <w:marLeft w:val="0"/>
      <w:marRight w:val="0"/>
      <w:marTop w:val="0"/>
      <w:marBottom w:val="0"/>
      <w:divBdr>
        <w:top w:val="none" w:sz="0" w:space="0" w:color="auto"/>
        <w:left w:val="none" w:sz="0" w:space="0" w:color="auto"/>
        <w:bottom w:val="none" w:sz="0" w:space="0" w:color="auto"/>
        <w:right w:val="none" w:sz="0" w:space="0" w:color="auto"/>
      </w:divBdr>
    </w:div>
    <w:div w:id="78447558">
      <w:bodyDiv w:val="1"/>
      <w:marLeft w:val="0"/>
      <w:marRight w:val="0"/>
      <w:marTop w:val="0"/>
      <w:marBottom w:val="0"/>
      <w:divBdr>
        <w:top w:val="none" w:sz="0" w:space="0" w:color="auto"/>
        <w:left w:val="none" w:sz="0" w:space="0" w:color="auto"/>
        <w:bottom w:val="none" w:sz="0" w:space="0" w:color="auto"/>
        <w:right w:val="none" w:sz="0" w:space="0" w:color="auto"/>
      </w:divBdr>
    </w:div>
    <w:div w:id="91511407">
      <w:bodyDiv w:val="1"/>
      <w:marLeft w:val="0"/>
      <w:marRight w:val="0"/>
      <w:marTop w:val="0"/>
      <w:marBottom w:val="0"/>
      <w:divBdr>
        <w:top w:val="none" w:sz="0" w:space="0" w:color="auto"/>
        <w:left w:val="none" w:sz="0" w:space="0" w:color="auto"/>
        <w:bottom w:val="none" w:sz="0" w:space="0" w:color="auto"/>
        <w:right w:val="none" w:sz="0" w:space="0" w:color="auto"/>
      </w:divBdr>
    </w:div>
    <w:div w:id="100344089">
      <w:bodyDiv w:val="1"/>
      <w:marLeft w:val="0"/>
      <w:marRight w:val="0"/>
      <w:marTop w:val="0"/>
      <w:marBottom w:val="0"/>
      <w:divBdr>
        <w:top w:val="none" w:sz="0" w:space="0" w:color="auto"/>
        <w:left w:val="none" w:sz="0" w:space="0" w:color="auto"/>
        <w:bottom w:val="none" w:sz="0" w:space="0" w:color="auto"/>
        <w:right w:val="none" w:sz="0" w:space="0" w:color="auto"/>
      </w:divBdr>
    </w:div>
    <w:div w:id="121533863">
      <w:bodyDiv w:val="1"/>
      <w:marLeft w:val="0"/>
      <w:marRight w:val="0"/>
      <w:marTop w:val="0"/>
      <w:marBottom w:val="0"/>
      <w:divBdr>
        <w:top w:val="none" w:sz="0" w:space="0" w:color="auto"/>
        <w:left w:val="none" w:sz="0" w:space="0" w:color="auto"/>
        <w:bottom w:val="none" w:sz="0" w:space="0" w:color="auto"/>
        <w:right w:val="none" w:sz="0" w:space="0" w:color="auto"/>
      </w:divBdr>
    </w:div>
    <w:div w:id="176430733">
      <w:bodyDiv w:val="1"/>
      <w:marLeft w:val="0"/>
      <w:marRight w:val="0"/>
      <w:marTop w:val="0"/>
      <w:marBottom w:val="0"/>
      <w:divBdr>
        <w:top w:val="none" w:sz="0" w:space="0" w:color="auto"/>
        <w:left w:val="none" w:sz="0" w:space="0" w:color="auto"/>
        <w:bottom w:val="none" w:sz="0" w:space="0" w:color="auto"/>
        <w:right w:val="none" w:sz="0" w:space="0" w:color="auto"/>
      </w:divBdr>
    </w:div>
    <w:div w:id="179206151">
      <w:bodyDiv w:val="1"/>
      <w:marLeft w:val="0"/>
      <w:marRight w:val="0"/>
      <w:marTop w:val="0"/>
      <w:marBottom w:val="0"/>
      <w:divBdr>
        <w:top w:val="none" w:sz="0" w:space="0" w:color="auto"/>
        <w:left w:val="none" w:sz="0" w:space="0" w:color="auto"/>
        <w:bottom w:val="none" w:sz="0" w:space="0" w:color="auto"/>
        <w:right w:val="none" w:sz="0" w:space="0" w:color="auto"/>
      </w:divBdr>
    </w:div>
    <w:div w:id="181483359">
      <w:bodyDiv w:val="1"/>
      <w:marLeft w:val="0"/>
      <w:marRight w:val="0"/>
      <w:marTop w:val="0"/>
      <w:marBottom w:val="0"/>
      <w:divBdr>
        <w:top w:val="none" w:sz="0" w:space="0" w:color="auto"/>
        <w:left w:val="none" w:sz="0" w:space="0" w:color="auto"/>
        <w:bottom w:val="none" w:sz="0" w:space="0" w:color="auto"/>
        <w:right w:val="none" w:sz="0" w:space="0" w:color="auto"/>
      </w:divBdr>
    </w:div>
    <w:div w:id="216623994">
      <w:bodyDiv w:val="1"/>
      <w:marLeft w:val="0"/>
      <w:marRight w:val="0"/>
      <w:marTop w:val="0"/>
      <w:marBottom w:val="0"/>
      <w:divBdr>
        <w:top w:val="none" w:sz="0" w:space="0" w:color="auto"/>
        <w:left w:val="none" w:sz="0" w:space="0" w:color="auto"/>
        <w:bottom w:val="none" w:sz="0" w:space="0" w:color="auto"/>
        <w:right w:val="none" w:sz="0" w:space="0" w:color="auto"/>
      </w:divBdr>
    </w:div>
    <w:div w:id="222251707">
      <w:bodyDiv w:val="1"/>
      <w:marLeft w:val="0"/>
      <w:marRight w:val="0"/>
      <w:marTop w:val="0"/>
      <w:marBottom w:val="0"/>
      <w:divBdr>
        <w:top w:val="none" w:sz="0" w:space="0" w:color="auto"/>
        <w:left w:val="none" w:sz="0" w:space="0" w:color="auto"/>
        <w:bottom w:val="none" w:sz="0" w:space="0" w:color="auto"/>
        <w:right w:val="none" w:sz="0" w:space="0" w:color="auto"/>
      </w:divBdr>
    </w:div>
    <w:div w:id="245069787">
      <w:bodyDiv w:val="1"/>
      <w:marLeft w:val="0"/>
      <w:marRight w:val="0"/>
      <w:marTop w:val="0"/>
      <w:marBottom w:val="0"/>
      <w:divBdr>
        <w:top w:val="none" w:sz="0" w:space="0" w:color="auto"/>
        <w:left w:val="none" w:sz="0" w:space="0" w:color="auto"/>
        <w:bottom w:val="none" w:sz="0" w:space="0" w:color="auto"/>
        <w:right w:val="none" w:sz="0" w:space="0" w:color="auto"/>
      </w:divBdr>
    </w:div>
    <w:div w:id="247276511">
      <w:bodyDiv w:val="1"/>
      <w:marLeft w:val="0"/>
      <w:marRight w:val="0"/>
      <w:marTop w:val="0"/>
      <w:marBottom w:val="0"/>
      <w:divBdr>
        <w:top w:val="none" w:sz="0" w:space="0" w:color="auto"/>
        <w:left w:val="none" w:sz="0" w:space="0" w:color="auto"/>
        <w:bottom w:val="none" w:sz="0" w:space="0" w:color="auto"/>
        <w:right w:val="none" w:sz="0" w:space="0" w:color="auto"/>
      </w:divBdr>
    </w:div>
    <w:div w:id="276913413">
      <w:bodyDiv w:val="1"/>
      <w:marLeft w:val="0"/>
      <w:marRight w:val="0"/>
      <w:marTop w:val="0"/>
      <w:marBottom w:val="0"/>
      <w:divBdr>
        <w:top w:val="none" w:sz="0" w:space="0" w:color="auto"/>
        <w:left w:val="none" w:sz="0" w:space="0" w:color="auto"/>
        <w:bottom w:val="none" w:sz="0" w:space="0" w:color="auto"/>
        <w:right w:val="none" w:sz="0" w:space="0" w:color="auto"/>
      </w:divBdr>
    </w:div>
    <w:div w:id="292491524">
      <w:bodyDiv w:val="1"/>
      <w:marLeft w:val="0"/>
      <w:marRight w:val="0"/>
      <w:marTop w:val="0"/>
      <w:marBottom w:val="0"/>
      <w:divBdr>
        <w:top w:val="none" w:sz="0" w:space="0" w:color="auto"/>
        <w:left w:val="none" w:sz="0" w:space="0" w:color="auto"/>
        <w:bottom w:val="none" w:sz="0" w:space="0" w:color="auto"/>
        <w:right w:val="none" w:sz="0" w:space="0" w:color="auto"/>
      </w:divBdr>
    </w:div>
    <w:div w:id="301081616">
      <w:bodyDiv w:val="1"/>
      <w:marLeft w:val="0"/>
      <w:marRight w:val="0"/>
      <w:marTop w:val="0"/>
      <w:marBottom w:val="0"/>
      <w:divBdr>
        <w:top w:val="none" w:sz="0" w:space="0" w:color="auto"/>
        <w:left w:val="none" w:sz="0" w:space="0" w:color="auto"/>
        <w:bottom w:val="none" w:sz="0" w:space="0" w:color="auto"/>
        <w:right w:val="none" w:sz="0" w:space="0" w:color="auto"/>
      </w:divBdr>
    </w:div>
    <w:div w:id="320082852">
      <w:bodyDiv w:val="1"/>
      <w:marLeft w:val="0"/>
      <w:marRight w:val="0"/>
      <w:marTop w:val="0"/>
      <w:marBottom w:val="0"/>
      <w:divBdr>
        <w:top w:val="none" w:sz="0" w:space="0" w:color="auto"/>
        <w:left w:val="none" w:sz="0" w:space="0" w:color="auto"/>
        <w:bottom w:val="none" w:sz="0" w:space="0" w:color="auto"/>
        <w:right w:val="none" w:sz="0" w:space="0" w:color="auto"/>
      </w:divBdr>
    </w:div>
    <w:div w:id="333655195">
      <w:bodyDiv w:val="1"/>
      <w:marLeft w:val="0"/>
      <w:marRight w:val="0"/>
      <w:marTop w:val="0"/>
      <w:marBottom w:val="0"/>
      <w:divBdr>
        <w:top w:val="none" w:sz="0" w:space="0" w:color="auto"/>
        <w:left w:val="none" w:sz="0" w:space="0" w:color="auto"/>
        <w:bottom w:val="none" w:sz="0" w:space="0" w:color="auto"/>
        <w:right w:val="none" w:sz="0" w:space="0" w:color="auto"/>
      </w:divBdr>
    </w:div>
    <w:div w:id="338508029">
      <w:bodyDiv w:val="1"/>
      <w:marLeft w:val="0"/>
      <w:marRight w:val="0"/>
      <w:marTop w:val="0"/>
      <w:marBottom w:val="0"/>
      <w:divBdr>
        <w:top w:val="none" w:sz="0" w:space="0" w:color="auto"/>
        <w:left w:val="none" w:sz="0" w:space="0" w:color="auto"/>
        <w:bottom w:val="none" w:sz="0" w:space="0" w:color="auto"/>
        <w:right w:val="none" w:sz="0" w:space="0" w:color="auto"/>
      </w:divBdr>
    </w:div>
    <w:div w:id="346442321">
      <w:bodyDiv w:val="1"/>
      <w:marLeft w:val="0"/>
      <w:marRight w:val="0"/>
      <w:marTop w:val="0"/>
      <w:marBottom w:val="0"/>
      <w:divBdr>
        <w:top w:val="none" w:sz="0" w:space="0" w:color="auto"/>
        <w:left w:val="none" w:sz="0" w:space="0" w:color="auto"/>
        <w:bottom w:val="none" w:sz="0" w:space="0" w:color="auto"/>
        <w:right w:val="none" w:sz="0" w:space="0" w:color="auto"/>
      </w:divBdr>
    </w:div>
    <w:div w:id="371148837">
      <w:bodyDiv w:val="1"/>
      <w:marLeft w:val="0"/>
      <w:marRight w:val="0"/>
      <w:marTop w:val="0"/>
      <w:marBottom w:val="0"/>
      <w:divBdr>
        <w:top w:val="none" w:sz="0" w:space="0" w:color="auto"/>
        <w:left w:val="none" w:sz="0" w:space="0" w:color="auto"/>
        <w:bottom w:val="none" w:sz="0" w:space="0" w:color="auto"/>
        <w:right w:val="none" w:sz="0" w:space="0" w:color="auto"/>
      </w:divBdr>
    </w:div>
    <w:div w:id="373234740">
      <w:bodyDiv w:val="1"/>
      <w:marLeft w:val="0"/>
      <w:marRight w:val="0"/>
      <w:marTop w:val="0"/>
      <w:marBottom w:val="0"/>
      <w:divBdr>
        <w:top w:val="none" w:sz="0" w:space="0" w:color="auto"/>
        <w:left w:val="none" w:sz="0" w:space="0" w:color="auto"/>
        <w:bottom w:val="none" w:sz="0" w:space="0" w:color="auto"/>
        <w:right w:val="none" w:sz="0" w:space="0" w:color="auto"/>
      </w:divBdr>
    </w:div>
    <w:div w:id="408505582">
      <w:bodyDiv w:val="1"/>
      <w:marLeft w:val="0"/>
      <w:marRight w:val="0"/>
      <w:marTop w:val="0"/>
      <w:marBottom w:val="0"/>
      <w:divBdr>
        <w:top w:val="none" w:sz="0" w:space="0" w:color="auto"/>
        <w:left w:val="none" w:sz="0" w:space="0" w:color="auto"/>
        <w:bottom w:val="none" w:sz="0" w:space="0" w:color="auto"/>
        <w:right w:val="none" w:sz="0" w:space="0" w:color="auto"/>
      </w:divBdr>
    </w:div>
    <w:div w:id="446895000">
      <w:bodyDiv w:val="1"/>
      <w:marLeft w:val="0"/>
      <w:marRight w:val="0"/>
      <w:marTop w:val="0"/>
      <w:marBottom w:val="0"/>
      <w:divBdr>
        <w:top w:val="none" w:sz="0" w:space="0" w:color="auto"/>
        <w:left w:val="none" w:sz="0" w:space="0" w:color="auto"/>
        <w:bottom w:val="none" w:sz="0" w:space="0" w:color="auto"/>
        <w:right w:val="none" w:sz="0" w:space="0" w:color="auto"/>
      </w:divBdr>
    </w:div>
    <w:div w:id="447315859">
      <w:bodyDiv w:val="1"/>
      <w:marLeft w:val="0"/>
      <w:marRight w:val="0"/>
      <w:marTop w:val="0"/>
      <w:marBottom w:val="0"/>
      <w:divBdr>
        <w:top w:val="none" w:sz="0" w:space="0" w:color="auto"/>
        <w:left w:val="none" w:sz="0" w:space="0" w:color="auto"/>
        <w:bottom w:val="none" w:sz="0" w:space="0" w:color="auto"/>
        <w:right w:val="none" w:sz="0" w:space="0" w:color="auto"/>
      </w:divBdr>
    </w:div>
    <w:div w:id="483934676">
      <w:bodyDiv w:val="1"/>
      <w:marLeft w:val="0"/>
      <w:marRight w:val="0"/>
      <w:marTop w:val="0"/>
      <w:marBottom w:val="0"/>
      <w:divBdr>
        <w:top w:val="none" w:sz="0" w:space="0" w:color="auto"/>
        <w:left w:val="none" w:sz="0" w:space="0" w:color="auto"/>
        <w:bottom w:val="none" w:sz="0" w:space="0" w:color="auto"/>
        <w:right w:val="none" w:sz="0" w:space="0" w:color="auto"/>
      </w:divBdr>
    </w:div>
    <w:div w:id="513224843">
      <w:bodyDiv w:val="1"/>
      <w:marLeft w:val="0"/>
      <w:marRight w:val="0"/>
      <w:marTop w:val="0"/>
      <w:marBottom w:val="0"/>
      <w:divBdr>
        <w:top w:val="none" w:sz="0" w:space="0" w:color="auto"/>
        <w:left w:val="none" w:sz="0" w:space="0" w:color="auto"/>
        <w:bottom w:val="none" w:sz="0" w:space="0" w:color="auto"/>
        <w:right w:val="none" w:sz="0" w:space="0" w:color="auto"/>
      </w:divBdr>
    </w:div>
    <w:div w:id="521893440">
      <w:bodyDiv w:val="1"/>
      <w:marLeft w:val="0"/>
      <w:marRight w:val="0"/>
      <w:marTop w:val="0"/>
      <w:marBottom w:val="0"/>
      <w:divBdr>
        <w:top w:val="none" w:sz="0" w:space="0" w:color="auto"/>
        <w:left w:val="none" w:sz="0" w:space="0" w:color="auto"/>
        <w:bottom w:val="none" w:sz="0" w:space="0" w:color="auto"/>
        <w:right w:val="none" w:sz="0" w:space="0" w:color="auto"/>
      </w:divBdr>
    </w:div>
    <w:div w:id="555701873">
      <w:bodyDiv w:val="1"/>
      <w:marLeft w:val="0"/>
      <w:marRight w:val="0"/>
      <w:marTop w:val="0"/>
      <w:marBottom w:val="0"/>
      <w:divBdr>
        <w:top w:val="none" w:sz="0" w:space="0" w:color="auto"/>
        <w:left w:val="none" w:sz="0" w:space="0" w:color="auto"/>
        <w:bottom w:val="none" w:sz="0" w:space="0" w:color="auto"/>
        <w:right w:val="none" w:sz="0" w:space="0" w:color="auto"/>
      </w:divBdr>
    </w:div>
    <w:div w:id="567811785">
      <w:bodyDiv w:val="1"/>
      <w:marLeft w:val="0"/>
      <w:marRight w:val="0"/>
      <w:marTop w:val="0"/>
      <w:marBottom w:val="0"/>
      <w:divBdr>
        <w:top w:val="none" w:sz="0" w:space="0" w:color="auto"/>
        <w:left w:val="none" w:sz="0" w:space="0" w:color="auto"/>
        <w:bottom w:val="none" w:sz="0" w:space="0" w:color="auto"/>
        <w:right w:val="none" w:sz="0" w:space="0" w:color="auto"/>
      </w:divBdr>
    </w:div>
    <w:div w:id="573704299">
      <w:bodyDiv w:val="1"/>
      <w:marLeft w:val="0"/>
      <w:marRight w:val="0"/>
      <w:marTop w:val="0"/>
      <w:marBottom w:val="0"/>
      <w:divBdr>
        <w:top w:val="none" w:sz="0" w:space="0" w:color="auto"/>
        <w:left w:val="none" w:sz="0" w:space="0" w:color="auto"/>
        <w:bottom w:val="none" w:sz="0" w:space="0" w:color="auto"/>
        <w:right w:val="none" w:sz="0" w:space="0" w:color="auto"/>
      </w:divBdr>
    </w:div>
    <w:div w:id="598417400">
      <w:bodyDiv w:val="1"/>
      <w:marLeft w:val="0"/>
      <w:marRight w:val="0"/>
      <w:marTop w:val="0"/>
      <w:marBottom w:val="0"/>
      <w:divBdr>
        <w:top w:val="none" w:sz="0" w:space="0" w:color="auto"/>
        <w:left w:val="none" w:sz="0" w:space="0" w:color="auto"/>
        <w:bottom w:val="none" w:sz="0" w:space="0" w:color="auto"/>
        <w:right w:val="none" w:sz="0" w:space="0" w:color="auto"/>
      </w:divBdr>
    </w:div>
    <w:div w:id="629015277">
      <w:bodyDiv w:val="1"/>
      <w:marLeft w:val="0"/>
      <w:marRight w:val="0"/>
      <w:marTop w:val="0"/>
      <w:marBottom w:val="0"/>
      <w:divBdr>
        <w:top w:val="none" w:sz="0" w:space="0" w:color="auto"/>
        <w:left w:val="none" w:sz="0" w:space="0" w:color="auto"/>
        <w:bottom w:val="none" w:sz="0" w:space="0" w:color="auto"/>
        <w:right w:val="none" w:sz="0" w:space="0" w:color="auto"/>
      </w:divBdr>
    </w:div>
    <w:div w:id="630670059">
      <w:bodyDiv w:val="1"/>
      <w:marLeft w:val="0"/>
      <w:marRight w:val="0"/>
      <w:marTop w:val="0"/>
      <w:marBottom w:val="0"/>
      <w:divBdr>
        <w:top w:val="none" w:sz="0" w:space="0" w:color="auto"/>
        <w:left w:val="none" w:sz="0" w:space="0" w:color="auto"/>
        <w:bottom w:val="none" w:sz="0" w:space="0" w:color="auto"/>
        <w:right w:val="none" w:sz="0" w:space="0" w:color="auto"/>
      </w:divBdr>
    </w:div>
    <w:div w:id="630940486">
      <w:bodyDiv w:val="1"/>
      <w:marLeft w:val="0"/>
      <w:marRight w:val="0"/>
      <w:marTop w:val="0"/>
      <w:marBottom w:val="0"/>
      <w:divBdr>
        <w:top w:val="none" w:sz="0" w:space="0" w:color="auto"/>
        <w:left w:val="none" w:sz="0" w:space="0" w:color="auto"/>
        <w:bottom w:val="none" w:sz="0" w:space="0" w:color="auto"/>
        <w:right w:val="none" w:sz="0" w:space="0" w:color="auto"/>
      </w:divBdr>
    </w:div>
    <w:div w:id="653069033">
      <w:bodyDiv w:val="1"/>
      <w:marLeft w:val="0"/>
      <w:marRight w:val="0"/>
      <w:marTop w:val="0"/>
      <w:marBottom w:val="0"/>
      <w:divBdr>
        <w:top w:val="none" w:sz="0" w:space="0" w:color="auto"/>
        <w:left w:val="none" w:sz="0" w:space="0" w:color="auto"/>
        <w:bottom w:val="none" w:sz="0" w:space="0" w:color="auto"/>
        <w:right w:val="none" w:sz="0" w:space="0" w:color="auto"/>
      </w:divBdr>
    </w:div>
    <w:div w:id="667053410">
      <w:bodyDiv w:val="1"/>
      <w:marLeft w:val="0"/>
      <w:marRight w:val="0"/>
      <w:marTop w:val="0"/>
      <w:marBottom w:val="0"/>
      <w:divBdr>
        <w:top w:val="none" w:sz="0" w:space="0" w:color="auto"/>
        <w:left w:val="none" w:sz="0" w:space="0" w:color="auto"/>
        <w:bottom w:val="none" w:sz="0" w:space="0" w:color="auto"/>
        <w:right w:val="none" w:sz="0" w:space="0" w:color="auto"/>
      </w:divBdr>
    </w:div>
    <w:div w:id="697198964">
      <w:bodyDiv w:val="1"/>
      <w:marLeft w:val="0"/>
      <w:marRight w:val="0"/>
      <w:marTop w:val="0"/>
      <w:marBottom w:val="0"/>
      <w:divBdr>
        <w:top w:val="none" w:sz="0" w:space="0" w:color="auto"/>
        <w:left w:val="none" w:sz="0" w:space="0" w:color="auto"/>
        <w:bottom w:val="none" w:sz="0" w:space="0" w:color="auto"/>
        <w:right w:val="none" w:sz="0" w:space="0" w:color="auto"/>
      </w:divBdr>
    </w:div>
    <w:div w:id="716243337">
      <w:bodyDiv w:val="1"/>
      <w:marLeft w:val="0"/>
      <w:marRight w:val="0"/>
      <w:marTop w:val="0"/>
      <w:marBottom w:val="0"/>
      <w:divBdr>
        <w:top w:val="none" w:sz="0" w:space="0" w:color="auto"/>
        <w:left w:val="none" w:sz="0" w:space="0" w:color="auto"/>
        <w:bottom w:val="none" w:sz="0" w:space="0" w:color="auto"/>
        <w:right w:val="none" w:sz="0" w:space="0" w:color="auto"/>
      </w:divBdr>
    </w:div>
    <w:div w:id="746079300">
      <w:bodyDiv w:val="1"/>
      <w:marLeft w:val="0"/>
      <w:marRight w:val="0"/>
      <w:marTop w:val="0"/>
      <w:marBottom w:val="0"/>
      <w:divBdr>
        <w:top w:val="none" w:sz="0" w:space="0" w:color="auto"/>
        <w:left w:val="none" w:sz="0" w:space="0" w:color="auto"/>
        <w:bottom w:val="none" w:sz="0" w:space="0" w:color="auto"/>
        <w:right w:val="none" w:sz="0" w:space="0" w:color="auto"/>
      </w:divBdr>
    </w:div>
    <w:div w:id="753815882">
      <w:bodyDiv w:val="1"/>
      <w:marLeft w:val="0"/>
      <w:marRight w:val="0"/>
      <w:marTop w:val="0"/>
      <w:marBottom w:val="0"/>
      <w:divBdr>
        <w:top w:val="none" w:sz="0" w:space="0" w:color="auto"/>
        <w:left w:val="none" w:sz="0" w:space="0" w:color="auto"/>
        <w:bottom w:val="none" w:sz="0" w:space="0" w:color="auto"/>
        <w:right w:val="none" w:sz="0" w:space="0" w:color="auto"/>
      </w:divBdr>
    </w:div>
    <w:div w:id="754858753">
      <w:bodyDiv w:val="1"/>
      <w:marLeft w:val="0"/>
      <w:marRight w:val="0"/>
      <w:marTop w:val="0"/>
      <w:marBottom w:val="0"/>
      <w:divBdr>
        <w:top w:val="none" w:sz="0" w:space="0" w:color="auto"/>
        <w:left w:val="none" w:sz="0" w:space="0" w:color="auto"/>
        <w:bottom w:val="none" w:sz="0" w:space="0" w:color="auto"/>
        <w:right w:val="none" w:sz="0" w:space="0" w:color="auto"/>
      </w:divBdr>
    </w:div>
    <w:div w:id="759177492">
      <w:bodyDiv w:val="1"/>
      <w:marLeft w:val="0"/>
      <w:marRight w:val="0"/>
      <w:marTop w:val="0"/>
      <w:marBottom w:val="0"/>
      <w:divBdr>
        <w:top w:val="none" w:sz="0" w:space="0" w:color="auto"/>
        <w:left w:val="none" w:sz="0" w:space="0" w:color="auto"/>
        <w:bottom w:val="none" w:sz="0" w:space="0" w:color="auto"/>
        <w:right w:val="none" w:sz="0" w:space="0" w:color="auto"/>
      </w:divBdr>
    </w:div>
    <w:div w:id="769545278">
      <w:bodyDiv w:val="1"/>
      <w:marLeft w:val="0"/>
      <w:marRight w:val="0"/>
      <w:marTop w:val="0"/>
      <w:marBottom w:val="0"/>
      <w:divBdr>
        <w:top w:val="none" w:sz="0" w:space="0" w:color="auto"/>
        <w:left w:val="none" w:sz="0" w:space="0" w:color="auto"/>
        <w:bottom w:val="none" w:sz="0" w:space="0" w:color="auto"/>
        <w:right w:val="none" w:sz="0" w:space="0" w:color="auto"/>
      </w:divBdr>
    </w:div>
    <w:div w:id="802650734">
      <w:bodyDiv w:val="1"/>
      <w:marLeft w:val="0"/>
      <w:marRight w:val="0"/>
      <w:marTop w:val="0"/>
      <w:marBottom w:val="0"/>
      <w:divBdr>
        <w:top w:val="none" w:sz="0" w:space="0" w:color="auto"/>
        <w:left w:val="none" w:sz="0" w:space="0" w:color="auto"/>
        <w:bottom w:val="none" w:sz="0" w:space="0" w:color="auto"/>
        <w:right w:val="none" w:sz="0" w:space="0" w:color="auto"/>
      </w:divBdr>
    </w:div>
    <w:div w:id="806360173">
      <w:bodyDiv w:val="1"/>
      <w:marLeft w:val="0"/>
      <w:marRight w:val="0"/>
      <w:marTop w:val="0"/>
      <w:marBottom w:val="0"/>
      <w:divBdr>
        <w:top w:val="none" w:sz="0" w:space="0" w:color="auto"/>
        <w:left w:val="none" w:sz="0" w:space="0" w:color="auto"/>
        <w:bottom w:val="none" w:sz="0" w:space="0" w:color="auto"/>
        <w:right w:val="none" w:sz="0" w:space="0" w:color="auto"/>
      </w:divBdr>
    </w:div>
    <w:div w:id="814682033">
      <w:bodyDiv w:val="1"/>
      <w:marLeft w:val="0"/>
      <w:marRight w:val="0"/>
      <w:marTop w:val="0"/>
      <w:marBottom w:val="0"/>
      <w:divBdr>
        <w:top w:val="none" w:sz="0" w:space="0" w:color="auto"/>
        <w:left w:val="none" w:sz="0" w:space="0" w:color="auto"/>
        <w:bottom w:val="none" w:sz="0" w:space="0" w:color="auto"/>
        <w:right w:val="none" w:sz="0" w:space="0" w:color="auto"/>
      </w:divBdr>
    </w:div>
    <w:div w:id="817258669">
      <w:bodyDiv w:val="1"/>
      <w:marLeft w:val="0"/>
      <w:marRight w:val="0"/>
      <w:marTop w:val="0"/>
      <w:marBottom w:val="0"/>
      <w:divBdr>
        <w:top w:val="none" w:sz="0" w:space="0" w:color="auto"/>
        <w:left w:val="none" w:sz="0" w:space="0" w:color="auto"/>
        <w:bottom w:val="none" w:sz="0" w:space="0" w:color="auto"/>
        <w:right w:val="none" w:sz="0" w:space="0" w:color="auto"/>
      </w:divBdr>
    </w:div>
    <w:div w:id="859513302">
      <w:bodyDiv w:val="1"/>
      <w:marLeft w:val="0"/>
      <w:marRight w:val="0"/>
      <w:marTop w:val="0"/>
      <w:marBottom w:val="0"/>
      <w:divBdr>
        <w:top w:val="none" w:sz="0" w:space="0" w:color="auto"/>
        <w:left w:val="none" w:sz="0" w:space="0" w:color="auto"/>
        <w:bottom w:val="none" w:sz="0" w:space="0" w:color="auto"/>
        <w:right w:val="none" w:sz="0" w:space="0" w:color="auto"/>
      </w:divBdr>
    </w:div>
    <w:div w:id="866916499">
      <w:bodyDiv w:val="1"/>
      <w:marLeft w:val="0"/>
      <w:marRight w:val="0"/>
      <w:marTop w:val="0"/>
      <w:marBottom w:val="0"/>
      <w:divBdr>
        <w:top w:val="none" w:sz="0" w:space="0" w:color="auto"/>
        <w:left w:val="none" w:sz="0" w:space="0" w:color="auto"/>
        <w:bottom w:val="none" w:sz="0" w:space="0" w:color="auto"/>
        <w:right w:val="none" w:sz="0" w:space="0" w:color="auto"/>
      </w:divBdr>
    </w:div>
    <w:div w:id="947280168">
      <w:bodyDiv w:val="1"/>
      <w:marLeft w:val="0"/>
      <w:marRight w:val="0"/>
      <w:marTop w:val="0"/>
      <w:marBottom w:val="0"/>
      <w:divBdr>
        <w:top w:val="none" w:sz="0" w:space="0" w:color="auto"/>
        <w:left w:val="none" w:sz="0" w:space="0" w:color="auto"/>
        <w:bottom w:val="none" w:sz="0" w:space="0" w:color="auto"/>
        <w:right w:val="none" w:sz="0" w:space="0" w:color="auto"/>
      </w:divBdr>
    </w:div>
    <w:div w:id="961961093">
      <w:bodyDiv w:val="1"/>
      <w:marLeft w:val="0"/>
      <w:marRight w:val="0"/>
      <w:marTop w:val="0"/>
      <w:marBottom w:val="0"/>
      <w:divBdr>
        <w:top w:val="none" w:sz="0" w:space="0" w:color="auto"/>
        <w:left w:val="none" w:sz="0" w:space="0" w:color="auto"/>
        <w:bottom w:val="none" w:sz="0" w:space="0" w:color="auto"/>
        <w:right w:val="none" w:sz="0" w:space="0" w:color="auto"/>
      </w:divBdr>
    </w:div>
    <w:div w:id="976378361">
      <w:bodyDiv w:val="1"/>
      <w:marLeft w:val="0"/>
      <w:marRight w:val="0"/>
      <w:marTop w:val="0"/>
      <w:marBottom w:val="0"/>
      <w:divBdr>
        <w:top w:val="none" w:sz="0" w:space="0" w:color="auto"/>
        <w:left w:val="none" w:sz="0" w:space="0" w:color="auto"/>
        <w:bottom w:val="none" w:sz="0" w:space="0" w:color="auto"/>
        <w:right w:val="none" w:sz="0" w:space="0" w:color="auto"/>
      </w:divBdr>
    </w:div>
    <w:div w:id="1003439335">
      <w:bodyDiv w:val="1"/>
      <w:marLeft w:val="0"/>
      <w:marRight w:val="0"/>
      <w:marTop w:val="0"/>
      <w:marBottom w:val="0"/>
      <w:divBdr>
        <w:top w:val="none" w:sz="0" w:space="0" w:color="auto"/>
        <w:left w:val="none" w:sz="0" w:space="0" w:color="auto"/>
        <w:bottom w:val="none" w:sz="0" w:space="0" w:color="auto"/>
        <w:right w:val="none" w:sz="0" w:space="0" w:color="auto"/>
      </w:divBdr>
    </w:div>
    <w:div w:id="1009524307">
      <w:bodyDiv w:val="1"/>
      <w:marLeft w:val="0"/>
      <w:marRight w:val="0"/>
      <w:marTop w:val="0"/>
      <w:marBottom w:val="0"/>
      <w:divBdr>
        <w:top w:val="none" w:sz="0" w:space="0" w:color="auto"/>
        <w:left w:val="none" w:sz="0" w:space="0" w:color="auto"/>
        <w:bottom w:val="none" w:sz="0" w:space="0" w:color="auto"/>
        <w:right w:val="none" w:sz="0" w:space="0" w:color="auto"/>
      </w:divBdr>
    </w:div>
    <w:div w:id="1022438745">
      <w:bodyDiv w:val="1"/>
      <w:marLeft w:val="0"/>
      <w:marRight w:val="0"/>
      <w:marTop w:val="0"/>
      <w:marBottom w:val="0"/>
      <w:divBdr>
        <w:top w:val="none" w:sz="0" w:space="0" w:color="auto"/>
        <w:left w:val="none" w:sz="0" w:space="0" w:color="auto"/>
        <w:bottom w:val="none" w:sz="0" w:space="0" w:color="auto"/>
        <w:right w:val="none" w:sz="0" w:space="0" w:color="auto"/>
      </w:divBdr>
    </w:div>
    <w:div w:id="1034887023">
      <w:bodyDiv w:val="1"/>
      <w:marLeft w:val="0"/>
      <w:marRight w:val="0"/>
      <w:marTop w:val="0"/>
      <w:marBottom w:val="0"/>
      <w:divBdr>
        <w:top w:val="none" w:sz="0" w:space="0" w:color="auto"/>
        <w:left w:val="none" w:sz="0" w:space="0" w:color="auto"/>
        <w:bottom w:val="none" w:sz="0" w:space="0" w:color="auto"/>
        <w:right w:val="none" w:sz="0" w:space="0" w:color="auto"/>
      </w:divBdr>
    </w:div>
    <w:div w:id="1057171366">
      <w:bodyDiv w:val="1"/>
      <w:marLeft w:val="0"/>
      <w:marRight w:val="0"/>
      <w:marTop w:val="0"/>
      <w:marBottom w:val="0"/>
      <w:divBdr>
        <w:top w:val="none" w:sz="0" w:space="0" w:color="auto"/>
        <w:left w:val="none" w:sz="0" w:space="0" w:color="auto"/>
        <w:bottom w:val="none" w:sz="0" w:space="0" w:color="auto"/>
        <w:right w:val="none" w:sz="0" w:space="0" w:color="auto"/>
      </w:divBdr>
    </w:div>
    <w:div w:id="1072704462">
      <w:bodyDiv w:val="1"/>
      <w:marLeft w:val="0"/>
      <w:marRight w:val="0"/>
      <w:marTop w:val="0"/>
      <w:marBottom w:val="0"/>
      <w:divBdr>
        <w:top w:val="none" w:sz="0" w:space="0" w:color="auto"/>
        <w:left w:val="none" w:sz="0" w:space="0" w:color="auto"/>
        <w:bottom w:val="none" w:sz="0" w:space="0" w:color="auto"/>
        <w:right w:val="none" w:sz="0" w:space="0" w:color="auto"/>
      </w:divBdr>
    </w:div>
    <w:div w:id="1080181244">
      <w:bodyDiv w:val="1"/>
      <w:marLeft w:val="0"/>
      <w:marRight w:val="0"/>
      <w:marTop w:val="0"/>
      <w:marBottom w:val="0"/>
      <w:divBdr>
        <w:top w:val="none" w:sz="0" w:space="0" w:color="auto"/>
        <w:left w:val="none" w:sz="0" w:space="0" w:color="auto"/>
        <w:bottom w:val="none" w:sz="0" w:space="0" w:color="auto"/>
        <w:right w:val="none" w:sz="0" w:space="0" w:color="auto"/>
      </w:divBdr>
    </w:div>
    <w:div w:id="1120954527">
      <w:bodyDiv w:val="1"/>
      <w:marLeft w:val="0"/>
      <w:marRight w:val="0"/>
      <w:marTop w:val="0"/>
      <w:marBottom w:val="0"/>
      <w:divBdr>
        <w:top w:val="none" w:sz="0" w:space="0" w:color="auto"/>
        <w:left w:val="none" w:sz="0" w:space="0" w:color="auto"/>
        <w:bottom w:val="none" w:sz="0" w:space="0" w:color="auto"/>
        <w:right w:val="none" w:sz="0" w:space="0" w:color="auto"/>
      </w:divBdr>
    </w:div>
    <w:div w:id="1147747763">
      <w:bodyDiv w:val="1"/>
      <w:marLeft w:val="0"/>
      <w:marRight w:val="0"/>
      <w:marTop w:val="0"/>
      <w:marBottom w:val="0"/>
      <w:divBdr>
        <w:top w:val="none" w:sz="0" w:space="0" w:color="auto"/>
        <w:left w:val="none" w:sz="0" w:space="0" w:color="auto"/>
        <w:bottom w:val="none" w:sz="0" w:space="0" w:color="auto"/>
        <w:right w:val="none" w:sz="0" w:space="0" w:color="auto"/>
      </w:divBdr>
    </w:div>
    <w:div w:id="1172717614">
      <w:bodyDiv w:val="1"/>
      <w:marLeft w:val="0"/>
      <w:marRight w:val="0"/>
      <w:marTop w:val="0"/>
      <w:marBottom w:val="0"/>
      <w:divBdr>
        <w:top w:val="none" w:sz="0" w:space="0" w:color="auto"/>
        <w:left w:val="none" w:sz="0" w:space="0" w:color="auto"/>
        <w:bottom w:val="none" w:sz="0" w:space="0" w:color="auto"/>
        <w:right w:val="none" w:sz="0" w:space="0" w:color="auto"/>
      </w:divBdr>
    </w:div>
    <w:div w:id="1175222701">
      <w:bodyDiv w:val="1"/>
      <w:marLeft w:val="0"/>
      <w:marRight w:val="0"/>
      <w:marTop w:val="0"/>
      <w:marBottom w:val="0"/>
      <w:divBdr>
        <w:top w:val="none" w:sz="0" w:space="0" w:color="auto"/>
        <w:left w:val="none" w:sz="0" w:space="0" w:color="auto"/>
        <w:bottom w:val="none" w:sz="0" w:space="0" w:color="auto"/>
        <w:right w:val="none" w:sz="0" w:space="0" w:color="auto"/>
      </w:divBdr>
    </w:div>
    <w:div w:id="1175388326">
      <w:bodyDiv w:val="1"/>
      <w:marLeft w:val="0"/>
      <w:marRight w:val="0"/>
      <w:marTop w:val="0"/>
      <w:marBottom w:val="0"/>
      <w:divBdr>
        <w:top w:val="none" w:sz="0" w:space="0" w:color="auto"/>
        <w:left w:val="none" w:sz="0" w:space="0" w:color="auto"/>
        <w:bottom w:val="none" w:sz="0" w:space="0" w:color="auto"/>
        <w:right w:val="none" w:sz="0" w:space="0" w:color="auto"/>
      </w:divBdr>
    </w:div>
    <w:div w:id="1191794541">
      <w:bodyDiv w:val="1"/>
      <w:marLeft w:val="0"/>
      <w:marRight w:val="0"/>
      <w:marTop w:val="0"/>
      <w:marBottom w:val="0"/>
      <w:divBdr>
        <w:top w:val="none" w:sz="0" w:space="0" w:color="auto"/>
        <w:left w:val="none" w:sz="0" w:space="0" w:color="auto"/>
        <w:bottom w:val="none" w:sz="0" w:space="0" w:color="auto"/>
        <w:right w:val="none" w:sz="0" w:space="0" w:color="auto"/>
      </w:divBdr>
    </w:div>
    <w:div w:id="1193421676">
      <w:bodyDiv w:val="1"/>
      <w:marLeft w:val="0"/>
      <w:marRight w:val="0"/>
      <w:marTop w:val="0"/>
      <w:marBottom w:val="0"/>
      <w:divBdr>
        <w:top w:val="none" w:sz="0" w:space="0" w:color="auto"/>
        <w:left w:val="none" w:sz="0" w:space="0" w:color="auto"/>
        <w:bottom w:val="none" w:sz="0" w:space="0" w:color="auto"/>
        <w:right w:val="none" w:sz="0" w:space="0" w:color="auto"/>
      </w:divBdr>
    </w:div>
    <w:div w:id="1207718402">
      <w:bodyDiv w:val="1"/>
      <w:marLeft w:val="0"/>
      <w:marRight w:val="0"/>
      <w:marTop w:val="0"/>
      <w:marBottom w:val="0"/>
      <w:divBdr>
        <w:top w:val="none" w:sz="0" w:space="0" w:color="auto"/>
        <w:left w:val="none" w:sz="0" w:space="0" w:color="auto"/>
        <w:bottom w:val="none" w:sz="0" w:space="0" w:color="auto"/>
        <w:right w:val="none" w:sz="0" w:space="0" w:color="auto"/>
      </w:divBdr>
    </w:div>
    <w:div w:id="1220283249">
      <w:bodyDiv w:val="1"/>
      <w:marLeft w:val="0"/>
      <w:marRight w:val="0"/>
      <w:marTop w:val="0"/>
      <w:marBottom w:val="0"/>
      <w:divBdr>
        <w:top w:val="none" w:sz="0" w:space="0" w:color="auto"/>
        <w:left w:val="none" w:sz="0" w:space="0" w:color="auto"/>
        <w:bottom w:val="none" w:sz="0" w:space="0" w:color="auto"/>
        <w:right w:val="none" w:sz="0" w:space="0" w:color="auto"/>
      </w:divBdr>
    </w:div>
    <w:div w:id="1283151574">
      <w:bodyDiv w:val="1"/>
      <w:marLeft w:val="0"/>
      <w:marRight w:val="0"/>
      <w:marTop w:val="0"/>
      <w:marBottom w:val="0"/>
      <w:divBdr>
        <w:top w:val="none" w:sz="0" w:space="0" w:color="auto"/>
        <w:left w:val="none" w:sz="0" w:space="0" w:color="auto"/>
        <w:bottom w:val="none" w:sz="0" w:space="0" w:color="auto"/>
        <w:right w:val="none" w:sz="0" w:space="0" w:color="auto"/>
      </w:divBdr>
    </w:div>
    <w:div w:id="1300693435">
      <w:bodyDiv w:val="1"/>
      <w:marLeft w:val="0"/>
      <w:marRight w:val="0"/>
      <w:marTop w:val="0"/>
      <w:marBottom w:val="0"/>
      <w:divBdr>
        <w:top w:val="none" w:sz="0" w:space="0" w:color="auto"/>
        <w:left w:val="none" w:sz="0" w:space="0" w:color="auto"/>
        <w:bottom w:val="none" w:sz="0" w:space="0" w:color="auto"/>
        <w:right w:val="none" w:sz="0" w:space="0" w:color="auto"/>
      </w:divBdr>
    </w:div>
    <w:div w:id="1314066175">
      <w:bodyDiv w:val="1"/>
      <w:marLeft w:val="0"/>
      <w:marRight w:val="0"/>
      <w:marTop w:val="0"/>
      <w:marBottom w:val="0"/>
      <w:divBdr>
        <w:top w:val="none" w:sz="0" w:space="0" w:color="auto"/>
        <w:left w:val="none" w:sz="0" w:space="0" w:color="auto"/>
        <w:bottom w:val="none" w:sz="0" w:space="0" w:color="auto"/>
        <w:right w:val="none" w:sz="0" w:space="0" w:color="auto"/>
      </w:divBdr>
    </w:div>
    <w:div w:id="1323506486">
      <w:bodyDiv w:val="1"/>
      <w:marLeft w:val="0"/>
      <w:marRight w:val="0"/>
      <w:marTop w:val="0"/>
      <w:marBottom w:val="0"/>
      <w:divBdr>
        <w:top w:val="none" w:sz="0" w:space="0" w:color="auto"/>
        <w:left w:val="none" w:sz="0" w:space="0" w:color="auto"/>
        <w:bottom w:val="none" w:sz="0" w:space="0" w:color="auto"/>
        <w:right w:val="none" w:sz="0" w:space="0" w:color="auto"/>
      </w:divBdr>
    </w:div>
    <w:div w:id="1346054948">
      <w:bodyDiv w:val="1"/>
      <w:marLeft w:val="0"/>
      <w:marRight w:val="0"/>
      <w:marTop w:val="0"/>
      <w:marBottom w:val="0"/>
      <w:divBdr>
        <w:top w:val="none" w:sz="0" w:space="0" w:color="auto"/>
        <w:left w:val="none" w:sz="0" w:space="0" w:color="auto"/>
        <w:bottom w:val="none" w:sz="0" w:space="0" w:color="auto"/>
        <w:right w:val="none" w:sz="0" w:space="0" w:color="auto"/>
      </w:divBdr>
    </w:div>
    <w:div w:id="1357586560">
      <w:bodyDiv w:val="1"/>
      <w:marLeft w:val="0"/>
      <w:marRight w:val="0"/>
      <w:marTop w:val="0"/>
      <w:marBottom w:val="0"/>
      <w:divBdr>
        <w:top w:val="none" w:sz="0" w:space="0" w:color="auto"/>
        <w:left w:val="none" w:sz="0" w:space="0" w:color="auto"/>
        <w:bottom w:val="none" w:sz="0" w:space="0" w:color="auto"/>
        <w:right w:val="none" w:sz="0" w:space="0" w:color="auto"/>
      </w:divBdr>
    </w:div>
    <w:div w:id="1386947780">
      <w:bodyDiv w:val="1"/>
      <w:marLeft w:val="0"/>
      <w:marRight w:val="0"/>
      <w:marTop w:val="0"/>
      <w:marBottom w:val="0"/>
      <w:divBdr>
        <w:top w:val="none" w:sz="0" w:space="0" w:color="auto"/>
        <w:left w:val="none" w:sz="0" w:space="0" w:color="auto"/>
        <w:bottom w:val="none" w:sz="0" w:space="0" w:color="auto"/>
        <w:right w:val="none" w:sz="0" w:space="0" w:color="auto"/>
      </w:divBdr>
    </w:div>
    <w:div w:id="1463037765">
      <w:bodyDiv w:val="1"/>
      <w:marLeft w:val="0"/>
      <w:marRight w:val="0"/>
      <w:marTop w:val="0"/>
      <w:marBottom w:val="0"/>
      <w:divBdr>
        <w:top w:val="none" w:sz="0" w:space="0" w:color="auto"/>
        <w:left w:val="none" w:sz="0" w:space="0" w:color="auto"/>
        <w:bottom w:val="none" w:sz="0" w:space="0" w:color="auto"/>
        <w:right w:val="none" w:sz="0" w:space="0" w:color="auto"/>
      </w:divBdr>
    </w:div>
    <w:div w:id="1467969299">
      <w:bodyDiv w:val="1"/>
      <w:marLeft w:val="0"/>
      <w:marRight w:val="0"/>
      <w:marTop w:val="0"/>
      <w:marBottom w:val="0"/>
      <w:divBdr>
        <w:top w:val="none" w:sz="0" w:space="0" w:color="auto"/>
        <w:left w:val="none" w:sz="0" w:space="0" w:color="auto"/>
        <w:bottom w:val="none" w:sz="0" w:space="0" w:color="auto"/>
        <w:right w:val="none" w:sz="0" w:space="0" w:color="auto"/>
      </w:divBdr>
    </w:div>
    <w:div w:id="1476602564">
      <w:bodyDiv w:val="1"/>
      <w:marLeft w:val="0"/>
      <w:marRight w:val="0"/>
      <w:marTop w:val="0"/>
      <w:marBottom w:val="0"/>
      <w:divBdr>
        <w:top w:val="none" w:sz="0" w:space="0" w:color="auto"/>
        <w:left w:val="none" w:sz="0" w:space="0" w:color="auto"/>
        <w:bottom w:val="none" w:sz="0" w:space="0" w:color="auto"/>
        <w:right w:val="none" w:sz="0" w:space="0" w:color="auto"/>
      </w:divBdr>
    </w:div>
    <w:div w:id="1518692130">
      <w:bodyDiv w:val="1"/>
      <w:marLeft w:val="0"/>
      <w:marRight w:val="0"/>
      <w:marTop w:val="0"/>
      <w:marBottom w:val="0"/>
      <w:divBdr>
        <w:top w:val="none" w:sz="0" w:space="0" w:color="auto"/>
        <w:left w:val="none" w:sz="0" w:space="0" w:color="auto"/>
        <w:bottom w:val="none" w:sz="0" w:space="0" w:color="auto"/>
        <w:right w:val="none" w:sz="0" w:space="0" w:color="auto"/>
      </w:divBdr>
    </w:div>
    <w:div w:id="1524175135">
      <w:bodyDiv w:val="1"/>
      <w:marLeft w:val="0"/>
      <w:marRight w:val="0"/>
      <w:marTop w:val="0"/>
      <w:marBottom w:val="0"/>
      <w:divBdr>
        <w:top w:val="none" w:sz="0" w:space="0" w:color="auto"/>
        <w:left w:val="none" w:sz="0" w:space="0" w:color="auto"/>
        <w:bottom w:val="none" w:sz="0" w:space="0" w:color="auto"/>
        <w:right w:val="none" w:sz="0" w:space="0" w:color="auto"/>
      </w:divBdr>
    </w:div>
    <w:div w:id="1529640684">
      <w:bodyDiv w:val="1"/>
      <w:marLeft w:val="0"/>
      <w:marRight w:val="0"/>
      <w:marTop w:val="0"/>
      <w:marBottom w:val="0"/>
      <w:divBdr>
        <w:top w:val="none" w:sz="0" w:space="0" w:color="auto"/>
        <w:left w:val="none" w:sz="0" w:space="0" w:color="auto"/>
        <w:bottom w:val="none" w:sz="0" w:space="0" w:color="auto"/>
        <w:right w:val="none" w:sz="0" w:space="0" w:color="auto"/>
      </w:divBdr>
    </w:div>
    <w:div w:id="1621843226">
      <w:bodyDiv w:val="1"/>
      <w:marLeft w:val="0"/>
      <w:marRight w:val="0"/>
      <w:marTop w:val="0"/>
      <w:marBottom w:val="0"/>
      <w:divBdr>
        <w:top w:val="none" w:sz="0" w:space="0" w:color="auto"/>
        <w:left w:val="none" w:sz="0" w:space="0" w:color="auto"/>
        <w:bottom w:val="none" w:sz="0" w:space="0" w:color="auto"/>
        <w:right w:val="none" w:sz="0" w:space="0" w:color="auto"/>
      </w:divBdr>
    </w:div>
    <w:div w:id="1622952515">
      <w:bodyDiv w:val="1"/>
      <w:marLeft w:val="0"/>
      <w:marRight w:val="0"/>
      <w:marTop w:val="0"/>
      <w:marBottom w:val="0"/>
      <w:divBdr>
        <w:top w:val="none" w:sz="0" w:space="0" w:color="auto"/>
        <w:left w:val="none" w:sz="0" w:space="0" w:color="auto"/>
        <w:bottom w:val="none" w:sz="0" w:space="0" w:color="auto"/>
        <w:right w:val="none" w:sz="0" w:space="0" w:color="auto"/>
      </w:divBdr>
    </w:div>
    <w:div w:id="1637101968">
      <w:bodyDiv w:val="1"/>
      <w:marLeft w:val="0"/>
      <w:marRight w:val="0"/>
      <w:marTop w:val="0"/>
      <w:marBottom w:val="0"/>
      <w:divBdr>
        <w:top w:val="none" w:sz="0" w:space="0" w:color="auto"/>
        <w:left w:val="none" w:sz="0" w:space="0" w:color="auto"/>
        <w:bottom w:val="none" w:sz="0" w:space="0" w:color="auto"/>
        <w:right w:val="none" w:sz="0" w:space="0" w:color="auto"/>
      </w:divBdr>
    </w:div>
    <w:div w:id="1654483329">
      <w:bodyDiv w:val="1"/>
      <w:marLeft w:val="0"/>
      <w:marRight w:val="0"/>
      <w:marTop w:val="0"/>
      <w:marBottom w:val="0"/>
      <w:divBdr>
        <w:top w:val="none" w:sz="0" w:space="0" w:color="auto"/>
        <w:left w:val="none" w:sz="0" w:space="0" w:color="auto"/>
        <w:bottom w:val="none" w:sz="0" w:space="0" w:color="auto"/>
        <w:right w:val="none" w:sz="0" w:space="0" w:color="auto"/>
      </w:divBdr>
    </w:div>
    <w:div w:id="1676104548">
      <w:bodyDiv w:val="1"/>
      <w:marLeft w:val="0"/>
      <w:marRight w:val="0"/>
      <w:marTop w:val="0"/>
      <w:marBottom w:val="0"/>
      <w:divBdr>
        <w:top w:val="none" w:sz="0" w:space="0" w:color="auto"/>
        <w:left w:val="none" w:sz="0" w:space="0" w:color="auto"/>
        <w:bottom w:val="none" w:sz="0" w:space="0" w:color="auto"/>
        <w:right w:val="none" w:sz="0" w:space="0" w:color="auto"/>
      </w:divBdr>
    </w:div>
    <w:div w:id="1677347923">
      <w:bodyDiv w:val="1"/>
      <w:marLeft w:val="0"/>
      <w:marRight w:val="0"/>
      <w:marTop w:val="0"/>
      <w:marBottom w:val="0"/>
      <w:divBdr>
        <w:top w:val="none" w:sz="0" w:space="0" w:color="auto"/>
        <w:left w:val="none" w:sz="0" w:space="0" w:color="auto"/>
        <w:bottom w:val="none" w:sz="0" w:space="0" w:color="auto"/>
        <w:right w:val="none" w:sz="0" w:space="0" w:color="auto"/>
      </w:divBdr>
    </w:div>
    <w:div w:id="1724676250">
      <w:bodyDiv w:val="1"/>
      <w:marLeft w:val="0"/>
      <w:marRight w:val="0"/>
      <w:marTop w:val="0"/>
      <w:marBottom w:val="0"/>
      <w:divBdr>
        <w:top w:val="none" w:sz="0" w:space="0" w:color="auto"/>
        <w:left w:val="none" w:sz="0" w:space="0" w:color="auto"/>
        <w:bottom w:val="none" w:sz="0" w:space="0" w:color="auto"/>
        <w:right w:val="none" w:sz="0" w:space="0" w:color="auto"/>
      </w:divBdr>
    </w:div>
    <w:div w:id="1764179640">
      <w:bodyDiv w:val="1"/>
      <w:marLeft w:val="0"/>
      <w:marRight w:val="0"/>
      <w:marTop w:val="0"/>
      <w:marBottom w:val="0"/>
      <w:divBdr>
        <w:top w:val="none" w:sz="0" w:space="0" w:color="auto"/>
        <w:left w:val="none" w:sz="0" w:space="0" w:color="auto"/>
        <w:bottom w:val="none" w:sz="0" w:space="0" w:color="auto"/>
        <w:right w:val="none" w:sz="0" w:space="0" w:color="auto"/>
      </w:divBdr>
    </w:div>
    <w:div w:id="1764182137">
      <w:bodyDiv w:val="1"/>
      <w:marLeft w:val="0"/>
      <w:marRight w:val="0"/>
      <w:marTop w:val="0"/>
      <w:marBottom w:val="0"/>
      <w:divBdr>
        <w:top w:val="none" w:sz="0" w:space="0" w:color="auto"/>
        <w:left w:val="none" w:sz="0" w:space="0" w:color="auto"/>
        <w:bottom w:val="none" w:sz="0" w:space="0" w:color="auto"/>
        <w:right w:val="none" w:sz="0" w:space="0" w:color="auto"/>
      </w:divBdr>
    </w:div>
    <w:div w:id="1781804549">
      <w:bodyDiv w:val="1"/>
      <w:marLeft w:val="0"/>
      <w:marRight w:val="0"/>
      <w:marTop w:val="0"/>
      <w:marBottom w:val="0"/>
      <w:divBdr>
        <w:top w:val="none" w:sz="0" w:space="0" w:color="auto"/>
        <w:left w:val="none" w:sz="0" w:space="0" w:color="auto"/>
        <w:bottom w:val="none" w:sz="0" w:space="0" w:color="auto"/>
        <w:right w:val="none" w:sz="0" w:space="0" w:color="auto"/>
      </w:divBdr>
    </w:div>
    <w:div w:id="1800798557">
      <w:bodyDiv w:val="1"/>
      <w:marLeft w:val="0"/>
      <w:marRight w:val="0"/>
      <w:marTop w:val="0"/>
      <w:marBottom w:val="0"/>
      <w:divBdr>
        <w:top w:val="none" w:sz="0" w:space="0" w:color="auto"/>
        <w:left w:val="none" w:sz="0" w:space="0" w:color="auto"/>
        <w:bottom w:val="none" w:sz="0" w:space="0" w:color="auto"/>
        <w:right w:val="none" w:sz="0" w:space="0" w:color="auto"/>
      </w:divBdr>
    </w:div>
    <w:div w:id="1803108183">
      <w:bodyDiv w:val="1"/>
      <w:marLeft w:val="0"/>
      <w:marRight w:val="0"/>
      <w:marTop w:val="0"/>
      <w:marBottom w:val="0"/>
      <w:divBdr>
        <w:top w:val="none" w:sz="0" w:space="0" w:color="auto"/>
        <w:left w:val="none" w:sz="0" w:space="0" w:color="auto"/>
        <w:bottom w:val="none" w:sz="0" w:space="0" w:color="auto"/>
        <w:right w:val="none" w:sz="0" w:space="0" w:color="auto"/>
      </w:divBdr>
    </w:div>
    <w:div w:id="1806776039">
      <w:bodyDiv w:val="1"/>
      <w:marLeft w:val="0"/>
      <w:marRight w:val="0"/>
      <w:marTop w:val="0"/>
      <w:marBottom w:val="0"/>
      <w:divBdr>
        <w:top w:val="none" w:sz="0" w:space="0" w:color="auto"/>
        <w:left w:val="none" w:sz="0" w:space="0" w:color="auto"/>
        <w:bottom w:val="none" w:sz="0" w:space="0" w:color="auto"/>
        <w:right w:val="none" w:sz="0" w:space="0" w:color="auto"/>
      </w:divBdr>
    </w:div>
    <w:div w:id="1821651936">
      <w:bodyDiv w:val="1"/>
      <w:marLeft w:val="0"/>
      <w:marRight w:val="0"/>
      <w:marTop w:val="0"/>
      <w:marBottom w:val="0"/>
      <w:divBdr>
        <w:top w:val="none" w:sz="0" w:space="0" w:color="auto"/>
        <w:left w:val="none" w:sz="0" w:space="0" w:color="auto"/>
        <w:bottom w:val="none" w:sz="0" w:space="0" w:color="auto"/>
        <w:right w:val="none" w:sz="0" w:space="0" w:color="auto"/>
      </w:divBdr>
    </w:div>
    <w:div w:id="1825052037">
      <w:bodyDiv w:val="1"/>
      <w:marLeft w:val="0"/>
      <w:marRight w:val="0"/>
      <w:marTop w:val="0"/>
      <w:marBottom w:val="0"/>
      <w:divBdr>
        <w:top w:val="none" w:sz="0" w:space="0" w:color="auto"/>
        <w:left w:val="none" w:sz="0" w:space="0" w:color="auto"/>
        <w:bottom w:val="none" w:sz="0" w:space="0" w:color="auto"/>
        <w:right w:val="none" w:sz="0" w:space="0" w:color="auto"/>
      </w:divBdr>
    </w:div>
    <w:div w:id="1838958380">
      <w:bodyDiv w:val="1"/>
      <w:marLeft w:val="0"/>
      <w:marRight w:val="0"/>
      <w:marTop w:val="0"/>
      <w:marBottom w:val="0"/>
      <w:divBdr>
        <w:top w:val="none" w:sz="0" w:space="0" w:color="auto"/>
        <w:left w:val="none" w:sz="0" w:space="0" w:color="auto"/>
        <w:bottom w:val="none" w:sz="0" w:space="0" w:color="auto"/>
        <w:right w:val="none" w:sz="0" w:space="0" w:color="auto"/>
      </w:divBdr>
    </w:div>
    <w:div w:id="1852448137">
      <w:bodyDiv w:val="1"/>
      <w:marLeft w:val="0"/>
      <w:marRight w:val="0"/>
      <w:marTop w:val="0"/>
      <w:marBottom w:val="0"/>
      <w:divBdr>
        <w:top w:val="none" w:sz="0" w:space="0" w:color="auto"/>
        <w:left w:val="none" w:sz="0" w:space="0" w:color="auto"/>
        <w:bottom w:val="none" w:sz="0" w:space="0" w:color="auto"/>
        <w:right w:val="none" w:sz="0" w:space="0" w:color="auto"/>
      </w:divBdr>
    </w:div>
    <w:div w:id="1877498699">
      <w:bodyDiv w:val="1"/>
      <w:marLeft w:val="0"/>
      <w:marRight w:val="0"/>
      <w:marTop w:val="0"/>
      <w:marBottom w:val="0"/>
      <w:divBdr>
        <w:top w:val="none" w:sz="0" w:space="0" w:color="auto"/>
        <w:left w:val="none" w:sz="0" w:space="0" w:color="auto"/>
        <w:bottom w:val="none" w:sz="0" w:space="0" w:color="auto"/>
        <w:right w:val="none" w:sz="0" w:space="0" w:color="auto"/>
      </w:divBdr>
    </w:div>
    <w:div w:id="1884368774">
      <w:bodyDiv w:val="1"/>
      <w:marLeft w:val="0"/>
      <w:marRight w:val="0"/>
      <w:marTop w:val="0"/>
      <w:marBottom w:val="0"/>
      <w:divBdr>
        <w:top w:val="none" w:sz="0" w:space="0" w:color="auto"/>
        <w:left w:val="none" w:sz="0" w:space="0" w:color="auto"/>
        <w:bottom w:val="none" w:sz="0" w:space="0" w:color="auto"/>
        <w:right w:val="none" w:sz="0" w:space="0" w:color="auto"/>
      </w:divBdr>
    </w:div>
    <w:div w:id="1899197688">
      <w:bodyDiv w:val="1"/>
      <w:marLeft w:val="0"/>
      <w:marRight w:val="0"/>
      <w:marTop w:val="0"/>
      <w:marBottom w:val="0"/>
      <w:divBdr>
        <w:top w:val="none" w:sz="0" w:space="0" w:color="auto"/>
        <w:left w:val="none" w:sz="0" w:space="0" w:color="auto"/>
        <w:bottom w:val="none" w:sz="0" w:space="0" w:color="auto"/>
        <w:right w:val="none" w:sz="0" w:space="0" w:color="auto"/>
      </w:divBdr>
    </w:div>
    <w:div w:id="1900046790">
      <w:bodyDiv w:val="1"/>
      <w:marLeft w:val="0"/>
      <w:marRight w:val="0"/>
      <w:marTop w:val="0"/>
      <w:marBottom w:val="0"/>
      <w:divBdr>
        <w:top w:val="none" w:sz="0" w:space="0" w:color="auto"/>
        <w:left w:val="none" w:sz="0" w:space="0" w:color="auto"/>
        <w:bottom w:val="none" w:sz="0" w:space="0" w:color="auto"/>
        <w:right w:val="none" w:sz="0" w:space="0" w:color="auto"/>
      </w:divBdr>
    </w:div>
    <w:div w:id="1922790149">
      <w:bodyDiv w:val="1"/>
      <w:marLeft w:val="0"/>
      <w:marRight w:val="0"/>
      <w:marTop w:val="0"/>
      <w:marBottom w:val="0"/>
      <w:divBdr>
        <w:top w:val="none" w:sz="0" w:space="0" w:color="auto"/>
        <w:left w:val="none" w:sz="0" w:space="0" w:color="auto"/>
        <w:bottom w:val="none" w:sz="0" w:space="0" w:color="auto"/>
        <w:right w:val="none" w:sz="0" w:space="0" w:color="auto"/>
      </w:divBdr>
    </w:div>
    <w:div w:id="2026007736">
      <w:bodyDiv w:val="1"/>
      <w:marLeft w:val="0"/>
      <w:marRight w:val="0"/>
      <w:marTop w:val="0"/>
      <w:marBottom w:val="0"/>
      <w:divBdr>
        <w:top w:val="none" w:sz="0" w:space="0" w:color="auto"/>
        <w:left w:val="none" w:sz="0" w:space="0" w:color="auto"/>
        <w:bottom w:val="none" w:sz="0" w:space="0" w:color="auto"/>
        <w:right w:val="none" w:sz="0" w:space="0" w:color="auto"/>
      </w:divBdr>
    </w:div>
    <w:div w:id="2036729401">
      <w:bodyDiv w:val="1"/>
      <w:marLeft w:val="0"/>
      <w:marRight w:val="0"/>
      <w:marTop w:val="0"/>
      <w:marBottom w:val="0"/>
      <w:divBdr>
        <w:top w:val="none" w:sz="0" w:space="0" w:color="auto"/>
        <w:left w:val="none" w:sz="0" w:space="0" w:color="auto"/>
        <w:bottom w:val="none" w:sz="0" w:space="0" w:color="auto"/>
        <w:right w:val="none" w:sz="0" w:space="0" w:color="auto"/>
      </w:divBdr>
    </w:div>
    <w:div w:id="2063285078">
      <w:bodyDiv w:val="1"/>
      <w:marLeft w:val="0"/>
      <w:marRight w:val="0"/>
      <w:marTop w:val="0"/>
      <w:marBottom w:val="0"/>
      <w:divBdr>
        <w:top w:val="none" w:sz="0" w:space="0" w:color="auto"/>
        <w:left w:val="none" w:sz="0" w:space="0" w:color="auto"/>
        <w:bottom w:val="none" w:sz="0" w:space="0" w:color="auto"/>
        <w:right w:val="none" w:sz="0" w:space="0" w:color="auto"/>
      </w:divBdr>
    </w:div>
    <w:div w:id="2068261095">
      <w:bodyDiv w:val="1"/>
      <w:marLeft w:val="0"/>
      <w:marRight w:val="0"/>
      <w:marTop w:val="0"/>
      <w:marBottom w:val="0"/>
      <w:divBdr>
        <w:top w:val="none" w:sz="0" w:space="0" w:color="auto"/>
        <w:left w:val="none" w:sz="0" w:space="0" w:color="auto"/>
        <w:bottom w:val="none" w:sz="0" w:space="0" w:color="auto"/>
        <w:right w:val="none" w:sz="0" w:space="0" w:color="auto"/>
      </w:divBdr>
    </w:div>
    <w:div w:id="2087267938">
      <w:bodyDiv w:val="1"/>
      <w:marLeft w:val="0"/>
      <w:marRight w:val="0"/>
      <w:marTop w:val="0"/>
      <w:marBottom w:val="0"/>
      <w:divBdr>
        <w:top w:val="none" w:sz="0" w:space="0" w:color="auto"/>
        <w:left w:val="none" w:sz="0" w:space="0" w:color="auto"/>
        <w:bottom w:val="none" w:sz="0" w:space="0" w:color="auto"/>
        <w:right w:val="none" w:sz="0" w:space="0" w:color="auto"/>
      </w:divBdr>
    </w:div>
    <w:div w:id="2097246801">
      <w:bodyDiv w:val="1"/>
      <w:marLeft w:val="0"/>
      <w:marRight w:val="0"/>
      <w:marTop w:val="0"/>
      <w:marBottom w:val="0"/>
      <w:divBdr>
        <w:top w:val="none" w:sz="0" w:space="0" w:color="auto"/>
        <w:left w:val="none" w:sz="0" w:space="0" w:color="auto"/>
        <w:bottom w:val="none" w:sz="0" w:space="0" w:color="auto"/>
        <w:right w:val="none" w:sz="0" w:space="0" w:color="auto"/>
      </w:divBdr>
    </w:div>
    <w:div w:id="210792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4416</Words>
  <Characters>25175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ieu</dc:creator>
  <cp:lastModifiedBy>AYLA ALKAN</cp:lastModifiedBy>
  <cp:revision>2</cp:revision>
  <dcterms:created xsi:type="dcterms:W3CDTF">2018-05-23T10:35:00Z</dcterms:created>
  <dcterms:modified xsi:type="dcterms:W3CDTF">2018-05-23T10:35:00Z</dcterms:modified>
</cp:coreProperties>
</file>